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hint="eastAsia" w:ascii="宋体" w:hAnsi="宋体" w:cs="宋体"/>
          <w:b/>
          <w:sz w:val="108"/>
        </w:rPr>
      </w:pPr>
      <w:r>
        <w:rPr>
          <w:rFonts w:hint="eastAsia" w:ascii="宋体" w:hAnsi="宋体" w:cs="宋体"/>
          <w:b/>
          <w:sz w:val="108"/>
        </w:rPr>
        <w:t xml:space="preserve">苏州市政府采购</w:t>
      </w:r>
      <w:r/>
    </w:p>
    <w:p>
      <w:pPr>
        <w:ind w:left="0"/>
        <w:jc w:val="center"/>
        <w:rPr>
          <w:rFonts w:hint="eastAsia"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bookmarkStart w:id="121" w:name="_GoBack"/>
      <w:r>
        <w:rPr>
          <w:rFonts w:hint="eastAsia" w:ascii="Times New Roman" w:hAnsi="Times New Roman"/>
          <w:b/>
          <w:sz w:val="32"/>
          <w:lang w:eastAsia="zh-CN"/>
        </w:rPr>
        <w:t xml:space="preserve">JSZC-320500-SZSC-C2025-0023</w:t>
      </w:r>
      <w:r>
        <w:rPr>
          <w:rFonts w:hint="eastAsia" w:ascii="Times New Roman" w:hAnsi="Times New Roman"/>
          <w:b/>
          <w:sz w:val="32"/>
        </w:rPr>
        <w:tab/>
      </w:r>
      <w:bookmarkEnd w:id="121"/>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：苏州市生态环境局</w:t>
      </w:r>
      <w:r/>
    </w:p>
    <w:p>
      <w:pPr>
        <w:ind w:left="3908" w:hanging="1606"/>
        <w:jc w:val="left"/>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2026年市控空气站六参数数据质控审核辅助服务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苏州市诚源招投标代理有限公司</w:t>
      </w:r>
      <w:r/>
    </w:p>
    <w:p>
      <w:pPr>
        <w:ind w:left="0"/>
        <w:jc w:val="center"/>
        <w:rPr>
          <w:rFonts w:hint="eastAsia" w:ascii="宋体" w:hAnsi="宋体" w:cs="宋体"/>
          <w:b/>
          <w:sz w:val="32"/>
        </w:rPr>
      </w:pPr>
      <w:r>
        <w:rPr>
          <w:rFonts w:ascii="宋体" w:hAnsi="宋体" w:cs="宋体"/>
          <w:b/>
          <w:sz w:val="32"/>
        </w:rPr>
        <w:t xml:space="preserve">202</w:t>
      </w:r>
      <w:r>
        <w:rPr>
          <w:rFonts w:hint="eastAsia" w:ascii="宋体" w:hAnsi="宋体" w:cs="宋体"/>
          <w:b/>
          <w:sz w:val="32"/>
        </w:rPr>
        <w:t xml:space="preserve">6年1月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hint="eastAsia" w:ascii="宋体" w:hAnsi="宋体" w:cs="宋体"/>
          <w:sz w:val="32"/>
          <w:szCs w:val="32"/>
        </w:rPr>
      </w:pPr>
      <w:r>
        <w:rPr>
          <w:rFonts w:hint="eastAsia" w:ascii="宋体" w:hAnsi="宋体" w:cs="宋体"/>
          <w:sz w:val="32"/>
          <w:szCs w:val="32"/>
        </w:rPr>
      </w:r>
      <w:r/>
    </w:p>
    <w:p>
      <w:pPr>
        <w:ind w:left="0"/>
        <w:jc w:val="center"/>
        <w:tabs>
          <w:tab w:val="center" w:pos="5444" w:leader="none"/>
          <w:tab w:val="left" w:pos="8076" w:leader="none"/>
        </w:tabs>
        <w:rPr>
          <w:rFonts w:hint="eastAsia" w:ascii="宋体" w:hAnsi="宋体" w:cs="宋体"/>
          <w:sz w:val="48"/>
          <w:szCs w:val="48"/>
        </w:rPr>
      </w:pPr>
      <w:r>
        <w:rPr>
          <w:rFonts w:hint="eastAsia" w:ascii="宋体" w:hAnsi="宋体" w:cs="宋体"/>
          <w:sz w:val="48"/>
          <w:szCs w:val="48"/>
        </w:rPr>
      </w:r>
      <w:r/>
    </w:p>
    <w:p>
      <w:pPr>
        <w:ind w:left="0"/>
        <w:jc w:val="center"/>
        <w:tabs>
          <w:tab w:val="center" w:pos="5444" w:leader="none"/>
          <w:tab w:val="left" w:pos="8076" w:leader="none"/>
        </w:tabs>
        <w:rPr>
          <w:rFonts w:hint="eastAsia" w:ascii="宋体" w:hAnsi="宋体" w:cs="宋体"/>
          <w:sz w:val="48"/>
          <w:szCs w:val="48"/>
        </w:rPr>
      </w:pPr>
      <w:r>
        <w:rPr>
          <w:rFonts w:hint="eastAsia" w:ascii="宋体" w:hAnsi="宋体" w:cs="宋体"/>
          <w:sz w:val="48"/>
          <w:szCs w:val="48"/>
        </w:rPr>
      </w:r>
      <w:r/>
    </w:p>
    <w:p>
      <w:pPr>
        <w:ind w:left="0"/>
        <w:jc w:val="center"/>
        <w:tabs>
          <w:tab w:val="center" w:pos="5444" w:leader="none"/>
          <w:tab w:val="left" w:pos="8076" w:leader="none"/>
        </w:tabs>
        <w:rPr>
          <w:rFonts w:hint="eastAsia" w:ascii="宋体" w:hAnsi="宋体" w:cs="宋体"/>
          <w:sz w:val="48"/>
          <w:szCs w:val="48"/>
        </w:rPr>
      </w:pPr>
      <w:r>
        <w:rPr>
          <w:rFonts w:hint="eastAsia" w:ascii="宋体" w:hAnsi="宋体" w:cs="宋体"/>
          <w:sz w:val="48"/>
          <w:szCs w:val="48"/>
        </w:rPr>
        <w:t xml:space="preserve">总目录</w:t>
      </w:r>
      <w:r/>
    </w:p>
    <w:p>
      <w:pPr>
        <w:pStyle w:val="1031"/>
        <w:tabs>
          <w:tab w:val="right" w:pos="9854" w:leader="dot"/>
        </w:tabs>
        <w:rPr>
          <w:rFonts w:cs="Times New Roman"/>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"_Toc73000673" </w:instrText>
      </w:r>
      <w:r>
        <w:fldChar w:fldCharType="separate"/>
      </w:r>
      <w:r>
        <w:rPr>
          <w:rStyle w:val="1061"/>
          <w:rFonts w:hint="eastAsia"/>
          <w:b w:val="0"/>
          <w:color w:val="auto"/>
          <w:sz w:val="32"/>
          <w:szCs w:val="32"/>
        </w:rPr>
        <w:t xml:space="preserve">第一章</w:t>
      </w:r>
      <w:r>
        <w:rPr>
          <w:rStyle w:val="1061"/>
          <w:b w:val="0"/>
          <w:color w:val="auto"/>
          <w:sz w:val="32"/>
          <w:szCs w:val="32"/>
        </w:rPr>
        <w:t xml:space="preserve"> </w:t>
      </w:r>
      <w:r>
        <w:rPr>
          <w:rStyle w:val="1061"/>
          <w:rFonts w:hint="eastAsia"/>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_Toc73000673 \h </w:instrText>
      </w:r>
      <w:r>
        <w:rPr>
          <w:b w:val="0"/>
          <w:sz w:val="32"/>
          <w:szCs w:val="32"/>
        </w:rPr>
        <w:fldChar w:fldCharType="separate"/>
      </w:r>
      <w:r>
        <w:rPr>
          <w:b w:val="0"/>
          <w:sz w:val="32"/>
          <w:szCs w:val="32"/>
        </w:rPr>
        <w:t xml:space="preserve">3</w:t>
      </w:r>
      <w:r>
        <w:rPr>
          <w:b w:val="0"/>
          <w:sz w:val="32"/>
          <w:szCs w:val="32"/>
        </w:rPr>
        <w:fldChar w:fldCharType="end"/>
      </w:r>
      <w:r>
        <w:rPr>
          <w:b w:val="0"/>
          <w:sz w:val="32"/>
          <w:szCs w:val="32"/>
        </w:rPr>
        <w:fldChar w:fldCharType="end"/>
      </w:r>
      <w:r/>
    </w:p>
    <w:p>
      <w:pPr>
        <w:pStyle w:val="1031"/>
        <w:tabs>
          <w:tab w:val="right" w:pos="9854" w:leader="dot"/>
        </w:tabs>
        <w:rPr>
          <w:rFonts w:cs="Times New Roman"/>
          <w:b w:val="0"/>
          <w:bCs w:val="0"/>
          <w:caps w:val="0"/>
          <w:sz w:val="32"/>
          <w:szCs w:val="32"/>
        </w:rPr>
      </w:pPr>
      <w:r>
        <w:fldChar w:fldCharType="begin"/>
      </w:r>
      <w:r>
        <w:instrText xml:space="preserve"> HYPERLINK \l "_Toc73000674" </w:instrText>
      </w:r>
      <w:r>
        <w:fldChar w:fldCharType="separate"/>
      </w:r>
      <w:r>
        <w:rPr>
          <w:rStyle w:val="1061"/>
          <w:rFonts w:hint="eastAsia"/>
          <w:b w:val="0"/>
          <w:color w:val="auto"/>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_Toc73000674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1031"/>
        <w:tabs>
          <w:tab w:val="right" w:pos="9854" w:leader="dot"/>
        </w:tabs>
        <w:rPr>
          <w:rFonts w:cs="Times New Roman"/>
          <w:b w:val="0"/>
          <w:bCs w:val="0"/>
          <w:caps w:val="0"/>
          <w:sz w:val="32"/>
          <w:szCs w:val="32"/>
        </w:rPr>
      </w:pPr>
      <w:r>
        <w:fldChar w:fldCharType="begin"/>
      </w:r>
      <w:r>
        <w:instrText xml:space="preserve"> HYPERLINK \l "_Toc73000675" </w:instrText>
      </w:r>
      <w:r>
        <w:fldChar w:fldCharType="separate"/>
      </w:r>
      <w:r>
        <w:rPr>
          <w:rStyle w:val="1061"/>
          <w:rFonts w:hint="eastAsia"/>
          <w:b w:val="0"/>
          <w:color w:val="auto"/>
          <w:sz w:val="32"/>
          <w:szCs w:val="32"/>
        </w:rPr>
        <w:t xml:space="preserve">第三章</w:t>
      </w:r>
      <w:r>
        <w:rPr>
          <w:rStyle w:val="1061"/>
          <w:b w:val="0"/>
          <w:color w:val="auto"/>
          <w:sz w:val="32"/>
          <w:szCs w:val="32"/>
        </w:rPr>
        <w:t xml:space="preserve"> </w:t>
      </w:r>
      <w:r>
        <w:rPr>
          <w:rStyle w:val="1061"/>
          <w:rFonts w:hint="eastAsia"/>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_Toc73000675 \h </w:instrText>
      </w:r>
      <w:r>
        <w:rPr>
          <w:b w:val="0"/>
          <w:sz w:val="32"/>
          <w:szCs w:val="32"/>
        </w:rPr>
        <w:fldChar w:fldCharType="separate"/>
      </w:r>
      <w:r>
        <w:rPr>
          <w:b w:val="0"/>
          <w:sz w:val="32"/>
          <w:szCs w:val="32"/>
        </w:rPr>
        <w:t xml:space="preserve">14</w:t>
      </w:r>
      <w:r>
        <w:rPr>
          <w:b w:val="0"/>
          <w:sz w:val="32"/>
          <w:szCs w:val="32"/>
        </w:rPr>
        <w:fldChar w:fldCharType="end"/>
      </w:r>
      <w:r>
        <w:rPr>
          <w:b w:val="0"/>
          <w:sz w:val="32"/>
          <w:szCs w:val="32"/>
        </w:rPr>
        <w:fldChar w:fldCharType="end"/>
      </w:r>
      <w:r/>
    </w:p>
    <w:p>
      <w:pPr>
        <w:pStyle w:val="1031"/>
        <w:tabs>
          <w:tab w:val="right" w:pos="9854" w:leader="dot"/>
        </w:tabs>
        <w:rPr>
          <w:rFonts w:cs="Times New Roman"/>
          <w:b w:val="0"/>
          <w:bCs w:val="0"/>
          <w:caps w:val="0"/>
          <w:sz w:val="32"/>
          <w:szCs w:val="32"/>
        </w:rPr>
      </w:pPr>
      <w:r>
        <w:fldChar w:fldCharType="begin"/>
      </w:r>
      <w:r>
        <w:instrText xml:space="preserve"> HYPERLINK \l "_Toc73000676" </w:instrText>
      </w:r>
      <w:r>
        <w:fldChar w:fldCharType="separate"/>
      </w:r>
      <w:r>
        <w:rPr>
          <w:rStyle w:val="1061"/>
          <w:rFonts w:hint="eastAsia"/>
          <w:b w:val="0"/>
          <w:color w:val="auto"/>
          <w:sz w:val="32"/>
          <w:szCs w:val="32"/>
        </w:rPr>
        <w:t xml:space="preserve">第四章</w:t>
      </w:r>
      <w:r>
        <w:rPr>
          <w:rStyle w:val="1061"/>
          <w:b w:val="0"/>
          <w:color w:val="auto"/>
          <w:sz w:val="32"/>
          <w:szCs w:val="32"/>
        </w:rPr>
        <w:t xml:space="preserve"> </w:t>
      </w:r>
      <w:r>
        <w:rPr>
          <w:rStyle w:val="1061"/>
          <w:rFonts w:hint="eastAsia"/>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_Toc73000676 \h </w:instrText>
      </w:r>
      <w:r>
        <w:rPr>
          <w:b w:val="0"/>
          <w:sz w:val="32"/>
          <w:szCs w:val="32"/>
        </w:rPr>
        <w:fldChar w:fldCharType="separate"/>
      </w:r>
      <w:r>
        <w:rPr>
          <w:b w:val="0"/>
          <w:sz w:val="32"/>
          <w:szCs w:val="32"/>
        </w:rPr>
        <w:t xml:space="preserve">14</w:t>
      </w:r>
      <w:r>
        <w:rPr>
          <w:b w:val="0"/>
          <w:sz w:val="32"/>
          <w:szCs w:val="32"/>
        </w:rPr>
        <w:fldChar w:fldCharType="end"/>
      </w:r>
      <w:r>
        <w:rPr>
          <w:b w:val="0"/>
          <w:sz w:val="32"/>
          <w:szCs w:val="32"/>
        </w:rPr>
        <w:fldChar w:fldCharType="end"/>
      </w:r>
      <w:r/>
    </w:p>
    <w:p>
      <w:pPr>
        <w:pStyle w:val="1050"/>
        <w:ind w:left="0"/>
        <w:tabs>
          <w:tab w:val="right" w:pos="9854" w:leader="dot"/>
        </w:tabs>
        <w:rPr>
          <w:rFonts w:cs="Times New Roman"/>
          <w:smallCaps w:val="0"/>
          <w:sz w:val="32"/>
          <w:szCs w:val="32"/>
        </w:rPr>
      </w:pPr>
      <w:r>
        <w:fldChar w:fldCharType="begin"/>
      </w:r>
      <w:r>
        <w:instrText xml:space="preserve"> HYPERLINK \l "_Toc73000677" </w:instrText>
      </w:r>
      <w:r>
        <w:fldChar w:fldCharType="separate"/>
      </w:r>
      <w:r>
        <w:rPr>
          <w:rStyle w:val="1061"/>
          <w:rFonts w:hint="eastAsia"/>
          <w:color w:val="auto"/>
          <w:sz w:val="32"/>
          <w:szCs w:val="32"/>
        </w:rPr>
        <w:t xml:space="preserve">第五章</w:t>
      </w:r>
      <w:r>
        <w:rPr>
          <w:rStyle w:val="1061"/>
          <w:color w:val="auto"/>
          <w:sz w:val="32"/>
          <w:szCs w:val="32"/>
        </w:rPr>
        <w:t xml:space="preserve"> </w:t>
      </w:r>
      <w:r>
        <w:rPr>
          <w:rStyle w:val="1061"/>
          <w:rFonts w:hint="eastAsia"/>
          <w:color w:val="auto"/>
          <w:sz w:val="32"/>
          <w:szCs w:val="32"/>
        </w:rPr>
        <w:t xml:space="preserve">合同及主要条款</w:t>
      </w:r>
      <w:r>
        <w:rPr>
          <w:sz w:val="32"/>
          <w:szCs w:val="32"/>
        </w:rPr>
        <w:tab/>
      </w:r>
      <w:r>
        <w:rPr>
          <w:bCs/>
          <w:caps/>
          <w:smallCaps w:val="0"/>
          <w:sz w:val="32"/>
          <w:szCs w:val="32"/>
        </w:rPr>
        <w:fldChar w:fldCharType="begin"/>
      </w:r>
      <w:r>
        <w:rPr>
          <w:bCs/>
          <w:caps/>
          <w:smallCaps w:val="0"/>
          <w:sz w:val="32"/>
          <w:szCs w:val="32"/>
        </w:rPr>
        <w:instrText xml:space="preserve"> PAGEREF _Toc73000677 \h </w:instrText>
      </w:r>
      <w:r>
        <w:rPr>
          <w:bCs/>
          <w:caps/>
          <w:smallCaps w:val="0"/>
          <w:sz w:val="32"/>
          <w:szCs w:val="32"/>
        </w:rPr>
        <w:fldChar w:fldCharType="separate"/>
      </w:r>
      <w:r>
        <w:rPr>
          <w:bCs/>
          <w:caps/>
          <w:smallCaps w:val="0"/>
          <w:sz w:val="32"/>
          <w:szCs w:val="32"/>
        </w:rPr>
        <w:t xml:space="preserve">27</w:t>
      </w:r>
      <w:r>
        <w:rPr>
          <w:bCs/>
          <w:caps/>
          <w:smallCaps w:val="0"/>
          <w:sz w:val="32"/>
          <w:szCs w:val="32"/>
        </w:rPr>
        <w:fldChar w:fldCharType="end"/>
      </w:r>
      <w:r>
        <w:rPr>
          <w:bCs/>
          <w:caps/>
          <w:smallCaps w:val="0"/>
          <w:sz w:val="32"/>
          <w:szCs w:val="32"/>
        </w:rPr>
        <w:fldChar w:fldCharType="end"/>
      </w:r>
      <w:r/>
    </w:p>
    <w:p>
      <w:pPr>
        <w:pStyle w:val="1031"/>
        <w:tabs>
          <w:tab w:val="right" w:pos="9854" w:leader="dot"/>
        </w:tabs>
        <w:rPr>
          <w:rFonts w:cs="Times New Roman"/>
          <w:b w:val="0"/>
          <w:bCs w:val="0"/>
          <w:caps w:val="0"/>
          <w:sz w:val="32"/>
          <w:szCs w:val="32"/>
        </w:rPr>
      </w:pPr>
      <w:r>
        <w:fldChar w:fldCharType="begin"/>
      </w:r>
      <w:r>
        <w:instrText xml:space="preserve"> HYPERLINK \l "_Toc73000678" </w:instrText>
      </w:r>
      <w:r>
        <w:fldChar w:fldCharType="separate"/>
      </w:r>
      <w:r>
        <w:rPr>
          <w:rStyle w:val="1061"/>
          <w:rFonts w:hint="eastAsia"/>
          <w:b w:val="0"/>
          <w:color w:val="auto"/>
          <w:sz w:val="32"/>
          <w:szCs w:val="32"/>
        </w:rPr>
        <w:t xml:space="preserve">第六章</w:t>
      </w:r>
      <w:r>
        <w:rPr>
          <w:rStyle w:val="1061"/>
          <w:b w:val="0"/>
          <w:color w:val="auto"/>
          <w:sz w:val="32"/>
          <w:szCs w:val="32"/>
        </w:rPr>
        <w:t xml:space="preserve"> </w:t>
      </w:r>
      <w:r>
        <w:rPr>
          <w:rStyle w:val="1061"/>
          <w:rFonts w:hint="eastAsia"/>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_Toc73000678 \h </w:instrText>
      </w:r>
      <w:r>
        <w:rPr>
          <w:b w:val="0"/>
          <w:sz w:val="32"/>
          <w:szCs w:val="32"/>
        </w:rPr>
        <w:fldChar w:fldCharType="separate"/>
      </w:r>
      <w:r>
        <w:rPr>
          <w:b w:val="0"/>
          <w:sz w:val="32"/>
          <w:szCs w:val="32"/>
        </w:rPr>
        <w:t xml:space="preserve">33</w:t>
      </w:r>
      <w:r>
        <w:rPr>
          <w:b w:val="0"/>
          <w:sz w:val="32"/>
          <w:szCs w:val="32"/>
        </w:rPr>
        <w:fldChar w:fldCharType="end"/>
      </w:r>
      <w:r>
        <w:rPr>
          <w:b w:val="0"/>
          <w:sz w:val="32"/>
          <w:szCs w:val="32"/>
        </w:rPr>
        <w:fldChar w:fldCharType="end"/>
      </w: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2642"/>
      <w:r/>
      <w:bookmarkStart w:id="2" w:name="_Toc16121"/>
      <w:r/>
      <w:bookmarkStart w:id="3" w:name="_Toc17003"/>
      <w:r>
        <w:rPr>
          <w:rFonts w:ascii="Arial" w:hAnsi="Arial"/>
          <w:b/>
          <w:spacing w:val="20"/>
          <w:sz w:val="30"/>
        </w:rPr>
        <w:t xml:space="preserve">前 附 表</w:t>
      </w:r>
      <w:bookmarkEnd w:id="0"/>
      <w:r/>
      <w:bookmarkEnd w:id="1"/>
      <w:r/>
      <w:bookmarkEnd w:id="2"/>
      <w:r/>
      <w:bookmarkEnd w:id="3"/>
      <w:r/>
      <w:r/>
    </w:p>
    <w:tbl>
      <w:tblPr>
        <w:tblStyle w:val="100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sz w:val="21"/>
                <w:szCs w:val="21"/>
                <w:lang w:eastAsia="zh-CN"/>
              </w:rPr>
            </w:pPr>
            <w:r>
              <w:rPr>
                <w:rFonts w:hint="eastAsia" w:ascii="宋体" w:hAnsi="宋体"/>
                <w:sz w:val="21"/>
                <w:szCs w:val="21"/>
                <w:lang w:eastAsia="zh-CN"/>
              </w:rPr>
              <w:t xml:space="preserve">JSZC-320500-SZSC-C2025-0023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2026年市控空气站六参数数据质控审核辅助服务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采购代理机构</w:t>
            </w:r>
            <w:r/>
          </w:p>
          <w:p>
            <w:pPr>
              <w:ind w:left="0"/>
              <w:jc w:val="left"/>
              <w:spacing w:line="312" w:lineRule="auto"/>
              <w:rPr>
                <w:rFonts w:hint="eastAsia"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名称：苏州市诚源招投标代理有限公司</w:t>
            </w:r>
            <w:r/>
          </w:p>
          <w:p>
            <w:pPr>
              <w:ind w:left="0"/>
              <w:jc w:val="left"/>
              <w:spacing w:line="312" w:lineRule="auto"/>
              <w:rPr>
                <w:rFonts w:hint="eastAsia" w:ascii="宋体" w:hAnsi="宋体"/>
                <w:sz w:val="21"/>
                <w:szCs w:val="21"/>
              </w:rPr>
            </w:pPr>
            <w:r>
              <w:rPr>
                <w:rFonts w:hint="eastAsia" w:ascii="宋体" w:hAnsi="宋体"/>
                <w:sz w:val="21"/>
                <w:szCs w:val="21"/>
              </w:rPr>
              <w:t xml:space="preserve">地址：苏州市姑苏区金门路1072号金门国际商业广场C区6楼</w:t>
            </w:r>
            <w:r/>
          </w:p>
          <w:p>
            <w:pPr>
              <w:ind w:left="0"/>
              <w:jc w:val="left"/>
              <w:spacing w:line="312" w:lineRule="auto"/>
              <w:rPr>
                <w:rFonts w:hint="eastAsia" w:ascii="宋体" w:hAnsi="宋体"/>
                <w:sz w:val="21"/>
                <w:szCs w:val="21"/>
              </w:rPr>
            </w:pPr>
            <w:r>
              <w:rPr>
                <w:rFonts w:hint="eastAsia" w:ascii="宋体" w:hAnsi="宋体"/>
                <w:sz w:val="21"/>
                <w:szCs w:val="21"/>
              </w:rPr>
              <w:t xml:space="preserve">联系人:金兰</w:t>
            </w:r>
            <w:r/>
          </w:p>
          <w:p>
            <w:pPr>
              <w:ind w:left="0"/>
              <w:jc w:val="left"/>
              <w:spacing w:line="312" w:lineRule="auto"/>
              <w:rPr>
                <w:rFonts w:hint="eastAsia" w:ascii="宋体" w:hAnsi="宋体"/>
                <w:sz w:val="21"/>
                <w:szCs w:val="21"/>
              </w:rPr>
            </w:pPr>
            <w:r>
              <w:rPr>
                <w:rFonts w:hint="eastAsia" w:ascii="宋体" w:hAnsi="宋体"/>
                <w:sz w:val="21"/>
                <w:szCs w:val="21"/>
              </w:rPr>
              <w:t xml:space="preserve">联系电话：0512-69228578</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名称：苏州市生态环境局</w:t>
            </w:r>
            <w:r/>
          </w:p>
          <w:p>
            <w:pPr>
              <w:ind w:left="0"/>
              <w:jc w:val="left"/>
              <w:spacing w:line="312" w:lineRule="auto"/>
              <w:rPr>
                <w:rFonts w:hint="eastAsia" w:ascii="宋体" w:hAnsi="宋体"/>
                <w:sz w:val="21"/>
                <w:szCs w:val="21"/>
              </w:rPr>
            </w:pPr>
            <w:r>
              <w:rPr>
                <w:rFonts w:hint="eastAsia" w:ascii="宋体" w:hAnsi="宋体"/>
                <w:sz w:val="21"/>
                <w:szCs w:val="21"/>
              </w:rPr>
              <w:t xml:space="preserve">地址：苏州市竹园路8号</w:t>
            </w:r>
            <w:r/>
          </w:p>
          <w:p>
            <w:pPr>
              <w:ind w:left="0"/>
              <w:jc w:val="left"/>
              <w:spacing w:line="312" w:lineRule="auto"/>
              <w:rPr>
                <w:rFonts w:hint="eastAsia" w:ascii="宋体" w:hAnsi="宋体"/>
                <w:sz w:val="21"/>
                <w:szCs w:val="21"/>
              </w:rPr>
            </w:pPr>
            <w:r>
              <w:rPr>
                <w:rFonts w:hint="eastAsia" w:ascii="宋体" w:hAnsi="宋体"/>
                <w:sz w:val="21"/>
                <w:szCs w:val="21"/>
              </w:rPr>
              <w:t xml:space="preserve">联系人：姚洁玉</w:t>
            </w:r>
            <w:r/>
          </w:p>
          <w:p>
            <w:pPr>
              <w:ind w:left="0"/>
              <w:jc w:val="left"/>
              <w:spacing w:line="312" w:lineRule="auto"/>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0512-65112857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获取采购文件</w:t>
            </w:r>
            <w:r/>
          </w:p>
          <w:p>
            <w:pPr>
              <w:ind w:left="0"/>
              <w:jc w:val="center"/>
              <w:spacing w:line="312" w:lineRule="auto"/>
              <w:rPr>
                <w:rFonts w:hint="eastAsia"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bookmarkStart w:id="4" w:name="_Toc73000673"/>
            <w:r/>
            <w:bookmarkStart w:id="5" w:name="_Toc19808"/>
            <w:r/>
            <w:bookmarkStart w:id="6" w:name="_Toc7166"/>
            <w:r/>
            <w:bookmarkStart w:id="7" w:name="_Toc28592"/>
            <w:r/>
            <w:bookmarkStart w:id="8" w:name="_Toc57376405"/>
            <w:r/>
            <w:bookmarkStart w:id="9" w:name="_Toc68611034"/>
            <w:r/>
            <w:bookmarkStart w:id="10"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响应文件网上</w:t>
            </w:r>
            <w:r/>
          </w:p>
          <w:p>
            <w:pPr>
              <w:ind w:left="0"/>
              <w:jc w:val="center"/>
              <w:spacing w:line="312" w:lineRule="auto"/>
              <w:rPr>
                <w:rFonts w:hint="eastAsia"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t xml:space="preserve">2026年</w:t>
            </w:r>
            <w:r>
              <w:rPr>
                <w:rFonts w:hint="eastAsia" w:ascii="宋体" w:hAnsi="宋体" w:cs="宋体"/>
                <w:sz w:val="21"/>
                <w:szCs w:val="21"/>
                <w:lang w:val="en-US" w:eastAsia="zh-CN"/>
              </w:rPr>
              <w:t xml:space="preserve">1</w:t>
            </w:r>
            <w:r>
              <w:rPr>
                <w:rFonts w:hint="eastAsia" w:ascii="宋体" w:hAnsi="宋体" w:cs="宋体"/>
                <w:sz w:val="21"/>
                <w:szCs w:val="21"/>
              </w:rPr>
              <w:t xml:space="preserve">月</w:t>
            </w:r>
            <w:r>
              <w:rPr>
                <w:rFonts w:hint="eastAsia" w:ascii="宋体" w:hAnsi="宋体" w:cs="宋体"/>
                <w:sz w:val="21"/>
                <w:szCs w:val="21"/>
                <w:lang w:val="en-US" w:eastAsia="zh-CN"/>
              </w:rPr>
              <w:t xml:space="preserve">13</w:t>
            </w:r>
            <w:r>
              <w:rPr>
                <w:rFonts w:hint="eastAsia" w:ascii="宋体" w:hAnsi="宋体" w:cs="宋体"/>
                <w:sz w:val="21"/>
                <w:szCs w:val="21"/>
              </w:rPr>
              <w:t xml:space="preserve">日 1</w:t>
            </w:r>
            <w:r>
              <w:rPr>
                <w:rFonts w:hint="eastAsia" w:ascii="宋体" w:hAnsi="宋体" w:cs="宋体"/>
                <w:sz w:val="21"/>
                <w:szCs w:val="21"/>
                <w:lang w:val="en-US" w:eastAsia="zh-CN"/>
              </w:rPr>
              <w:t xml:space="preserve">3</w:t>
            </w:r>
            <w:r>
              <w:rPr>
                <w:rFonts w:hint="eastAsia" w:ascii="宋体" w:hAnsi="宋体" w:cs="宋体"/>
                <w:sz w:val="21"/>
                <w:szCs w:val="21"/>
              </w:rPr>
              <w:t xml:space="preserve"> 点 30分</w:t>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开启时间</w:t>
            </w:r>
            <w:r/>
          </w:p>
          <w:p>
            <w:pPr>
              <w:ind w:left="0"/>
              <w:jc w:val="center"/>
              <w:spacing w:line="312" w:lineRule="auto"/>
              <w:rPr>
                <w:rFonts w:hint="eastAsia"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t xml:space="preserve">2026年</w:t>
            </w:r>
            <w:r>
              <w:rPr>
                <w:rFonts w:hint="eastAsia" w:ascii="宋体" w:hAnsi="宋体" w:cs="宋体"/>
                <w:sz w:val="21"/>
                <w:szCs w:val="21"/>
                <w:lang w:val="en-US" w:eastAsia="zh-CN"/>
              </w:rPr>
              <w:t xml:space="preserve">1</w:t>
            </w:r>
            <w:r>
              <w:rPr>
                <w:rFonts w:hint="eastAsia" w:ascii="宋体" w:hAnsi="宋体" w:cs="宋体"/>
                <w:sz w:val="21"/>
                <w:szCs w:val="21"/>
              </w:rPr>
              <w:t xml:space="preserve">月</w:t>
            </w:r>
            <w:r>
              <w:rPr>
                <w:rFonts w:hint="eastAsia" w:ascii="宋体" w:hAnsi="宋体" w:cs="宋体"/>
                <w:sz w:val="21"/>
                <w:szCs w:val="21"/>
                <w:lang w:val="en-US" w:eastAsia="zh-CN"/>
              </w:rPr>
              <w:t xml:space="preserve">13</w:t>
            </w:r>
            <w:r>
              <w:rPr>
                <w:rFonts w:hint="eastAsia" w:ascii="宋体" w:hAnsi="宋体" w:cs="宋体"/>
                <w:sz w:val="21"/>
                <w:szCs w:val="21"/>
              </w:rPr>
              <w:t xml:space="preserve">日 1</w:t>
            </w:r>
            <w:r>
              <w:rPr>
                <w:rFonts w:hint="eastAsia" w:ascii="宋体" w:hAnsi="宋体" w:cs="宋体"/>
                <w:sz w:val="21"/>
                <w:szCs w:val="21"/>
                <w:lang w:val="en-US" w:eastAsia="zh-CN"/>
              </w:rPr>
              <w:t xml:space="preserve">3</w:t>
            </w:r>
            <w:r>
              <w:rPr>
                <w:rFonts w:hint="eastAsia" w:ascii="宋体" w:hAnsi="宋体" w:cs="宋体"/>
                <w:sz w:val="21"/>
                <w:szCs w:val="21"/>
              </w:rPr>
              <w:t xml:space="preserve">点 30分</w:t>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hint="eastAsia"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评审时间</w:t>
            </w:r>
            <w:r/>
          </w:p>
          <w:p>
            <w:pPr>
              <w:ind w:left="0"/>
              <w:jc w:val="center"/>
              <w:spacing w:line="312" w:lineRule="auto"/>
              <w:rPr>
                <w:rFonts w:hint="eastAsia"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cs="宋体"/>
                <w:sz w:val="21"/>
                <w:szCs w:val="21"/>
              </w:rPr>
              <w:t xml:space="preserve">2026年</w:t>
            </w:r>
            <w:r>
              <w:rPr>
                <w:rFonts w:hint="eastAsia" w:ascii="宋体" w:hAnsi="宋体" w:cs="宋体"/>
                <w:sz w:val="21"/>
                <w:szCs w:val="21"/>
                <w:lang w:val="en-US" w:eastAsia="zh-CN"/>
              </w:rPr>
              <w:t xml:space="preserve">1</w:t>
            </w:r>
            <w:r>
              <w:rPr>
                <w:rFonts w:hint="eastAsia" w:ascii="宋体" w:hAnsi="宋体" w:cs="宋体"/>
                <w:sz w:val="21"/>
                <w:szCs w:val="21"/>
              </w:rPr>
              <w:t xml:space="preserve">月</w:t>
            </w:r>
            <w:r>
              <w:rPr>
                <w:rFonts w:hint="eastAsia" w:ascii="宋体" w:hAnsi="宋体" w:cs="宋体"/>
                <w:sz w:val="21"/>
                <w:szCs w:val="21"/>
                <w:lang w:val="en-US" w:eastAsia="zh-CN"/>
              </w:rPr>
              <w:t xml:space="preserve">13</w:t>
            </w:r>
            <w:r>
              <w:rPr>
                <w:rFonts w:hint="eastAsia" w:ascii="宋体" w:hAnsi="宋体" w:cs="宋体"/>
                <w:sz w:val="21"/>
                <w:szCs w:val="21"/>
              </w:rPr>
              <w:t xml:space="preserve">日 </w:t>
            </w:r>
            <w:r>
              <w:rPr>
                <w:rFonts w:hint="eastAsia" w:ascii="宋体" w:hAnsi="宋体" w:cs="宋体"/>
                <w:sz w:val="21"/>
                <w:szCs w:val="21"/>
                <w:lang w:val="en-US" w:eastAsia="zh-CN"/>
              </w:rPr>
              <w:t xml:space="preserve">13</w:t>
            </w:r>
            <w:r>
              <w:rPr>
                <w:rFonts w:hint="eastAsia" w:ascii="宋体" w:hAnsi="宋体" w:cs="宋体"/>
                <w:sz w:val="21"/>
                <w:szCs w:val="21"/>
              </w:rPr>
              <w:t xml:space="preserve">点30分</w:t>
            </w:r>
            <w:r>
              <w:rPr>
                <w:rFonts w:hint="eastAsia" w:ascii="宋体" w:hAnsi="宋体"/>
                <w:sz w:val="21"/>
                <w:szCs w:val="21"/>
              </w:rPr>
              <w:t xml:space="preserve">（北京时间）</w:t>
            </w:r>
            <w:r/>
          </w:p>
          <w:p>
            <w:pPr>
              <w:ind w:left="0"/>
              <w:jc w:val="left"/>
              <w:spacing w:line="312" w:lineRule="auto"/>
              <w:rPr>
                <w:rFonts w:hint="eastAsia" w:ascii="宋体" w:hAnsi="宋体"/>
                <w:sz w:val="21"/>
                <w:szCs w:val="21"/>
              </w:rPr>
            </w:pPr>
            <w:r>
              <w:rPr>
                <w:rFonts w:hint="eastAsia" w:ascii="宋体" w:hAnsi="宋体" w:cs="宋体"/>
                <w:sz w:val="21"/>
                <w:szCs w:val="21"/>
              </w:rPr>
              <w:t xml:space="preserve">苏州市高新区邓尉路105号狮山科技馆8楼，苏州市公共资源交易中心</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磋商响应</w:t>
            </w:r>
            <w:r/>
          </w:p>
          <w:p>
            <w:pPr>
              <w:ind w:left="0"/>
              <w:jc w:val="center"/>
              <w:spacing w:line="312" w:lineRule="auto"/>
              <w:rPr>
                <w:rFonts w:hint="eastAsia"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7"/>
              <w:ind w:left="0" w:firstLine="0"/>
              <w:spacing w:line="440" w:lineRule="exact"/>
              <w:rPr>
                <w:rFonts w:hint="eastAsia"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7"/>
              <w:ind w:left="0" w:firstLine="0"/>
              <w:spacing w:line="312" w:lineRule="auto"/>
              <w:rPr>
                <w:rFonts w:hint="eastAsia"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9"/>
        <w:ind w:left="0" w:firstLine="0"/>
        <w:jc w:val="center"/>
        <w:spacing w:line="480" w:lineRule="auto"/>
        <w:rPr>
          <w:b/>
          <w:sz w:val="44"/>
          <w:szCs w:val="44"/>
        </w:rPr>
      </w:pPr>
      <w:r>
        <w:rPr>
          <w:rFonts w:hint="eastAsia"/>
          <w:b/>
          <w:sz w:val="44"/>
          <w:szCs w:val="44"/>
        </w:rPr>
        <w:br w:type="page" w:clear="all"/>
      </w:r>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0"/>
        <w:spacing w:line="360" w:lineRule="auto"/>
        <w:rPr>
          <w:rFonts w:hint="eastAsia" w:ascii="宋体" w:hAnsi="宋体" w:cs="宋体"/>
          <w:bCs/>
          <w:sz w:val="21"/>
          <w:szCs w:val="21"/>
          <w:lang w:val="zh-CN"/>
        </w:rPr>
      </w:pPr>
      <w:r/>
      <w:bookmarkStart w:id="11" w:name="_Toc16571"/>
      <w:r/>
      <w:bookmarkStart w:id="12" w:name="_Toc3644"/>
      <w:r/>
      <w:bookmarkStart w:id="13" w:name="_Toc58248880"/>
      <w:r/>
      <w:bookmarkStart w:id="14" w:name="_Toc57376406"/>
      <w:r/>
      <w:bookmarkStart w:id="15" w:name="_Toc2412"/>
      <w:r/>
      <w:bookmarkStart w:id="16" w:name="_Toc6217"/>
      <w:r>
        <w:rPr>
          <w:rFonts w:hint="eastAsia" w:ascii="宋体" w:hAnsi="宋体" w:cs="宋体"/>
          <w:bCs/>
          <w:sz w:val="21"/>
          <w:szCs w:val="21"/>
          <w:lang w:val="zh-CN"/>
        </w:rPr>
        <w:t xml:space="preserve">项目概况：</w:t>
      </w:r>
      <w:r>
        <w:rPr>
          <w:rFonts w:hint="eastAsia" w:ascii="宋体" w:hAnsi="宋体" w:cs="宋体"/>
          <w:bCs/>
          <w:sz w:val="21"/>
          <w:szCs w:val="21"/>
          <w:u w:val="single"/>
          <w:lang w:val="zh-CN"/>
        </w:rPr>
        <w:t xml:space="preserve">2026年市控空气站六参数数据质控审核辅助服务采购项目</w:t>
      </w:r>
      <w:r>
        <w:rPr>
          <w:rFonts w:hint="eastAsia" w:ascii="宋体" w:hAnsi="宋体" w:cs="宋体"/>
          <w:bCs/>
          <w:sz w:val="21"/>
          <w:szCs w:val="21"/>
          <w:lang w:val="zh-CN"/>
        </w:rPr>
        <w:t xml:space="preserve">的潜在供应商应在 </w:t>
      </w:r>
      <w:r>
        <w:rPr>
          <w:rFonts w:hint="eastAsia" w:ascii="宋体" w:hAnsi="宋体" w:cs="宋体"/>
          <w:bCs/>
          <w:sz w:val="21"/>
          <w:szCs w:val="21"/>
          <w:u w:val="single"/>
          <w:lang w:val="zh-CN"/>
        </w:rPr>
        <w:t xml:space="preserve">“苏采云”系统（网址：http://jszfcg.jsczt.cn/） </w:t>
      </w:r>
      <w:r>
        <w:rPr>
          <w:rFonts w:hint="eastAsia" w:ascii="宋体" w:hAnsi="宋体" w:cs="宋体"/>
          <w:bCs/>
          <w:sz w:val="21"/>
          <w:szCs w:val="21"/>
          <w:lang w:val="zh-CN"/>
        </w:rPr>
        <w:t xml:space="preserve">获取采购文件，并</w:t>
      </w:r>
      <w:r>
        <w:rPr>
          <w:rFonts w:hint="eastAsia" w:ascii="宋体" w:hAnsi="宋体" w:cs="宋体"/>
          <w:bCs/>
          <w:sz w:val="21"/>
          <w:szCs w:val="21"/>
          <w:u w:val="single"/>
          <w:lang w:val="zh-CN"/>
        </w:rPr>
        <w:t xml:space="preserve">于202</w:t>
      </w:r>
      <w:r>
        <w:rPr>
          <w:rFonts w:hint="eastAsia" w:ascii="宋体" w:hAnsi="宋体" w:cs="宋体"/>
          <w:bCs/>
          <w:sz w:val="21"/>
          <w:szCs w:val="21"/>
          <w:u w:val="single"/>
        </w:rPr>
        <w:t xml:space="preserve">6</w:t>
      </w:r>
      <w:r>
        <w:rPr>
          <w:rFonts w:hint="eastAsia" w:ascii="宋体" w:hAnsi="宋体" w:cs="宋体"/>
          <w:bCs/>
          <w:sz w:val="21"/>
          <w:szCs w:val="21"/>
          <w:u w:val="single"/>
          <w:lang w:val="zh-CN"/>
        </w:rPr>
        <w:t xml:space="preserve">年</w:t>
      </w:r>
      <w:r>
        <w:rPr>
          <w:rFonts w:hint="eastAsia" w:ascii="宋体" w:hAnsi="宋体" w:cs="宋体"/>
          <w:bCs/>
          <w:sz w:val="21"/>
          <w:szCs w:val="21"/>
          <w:u w:val="single"/>
        </w:rPr>
        <w:t xml:space="preserve">XX</w:t>
      </w:r>
      <w:r>
        <w:rPr>
          <w:rFonts w:hint="eastAsia" w:ascii="宋体" w:hAnsi="宋体" w:cs="宋体"/>
          <w:bCs/>
          <w:sz w:val="21"/>
          <w:szCs w:val="21"/>
          <w:u w:val="single"/>
          <w:lang w:val="zh-CN"/>
        </w:rPr>
        <w:t xml:space="preserve">月</w:t>
      </w:r>
      <w:r>
        <w:rPr>
          <w:rFonts w:hint="eastAsia" w:ascii="宋体" w:hAnsi="宋体" w:cs="宋体"/>
          <w:bCs/>
          <w:sz w:val="21"/>
          <w:szCs w:val="21"/>
          <w:u w:val="single"/>
        </w:rPr>
        <w:t xml:space="preserve">XX</w:t>
      </w:r>
      <w:r>
        <w:rPr>
          <w:rFonts w:hint="eastAsia" w:ascii="宋体" w:hAnsi="宋体" w:cs="宋体"/>
          <w:bCs/>
          <w:sz w:val="21"/>
          <w:szCs w:val="21"/>
          <w:u w:val="single"/>
          <w:lang w:val="zh-CN"/>
        </w:rPr>
        <w:t xml:space="preserve">日</w:t>
      </w:r>
      <w:r>
        <w:rPr>
          <w:rFonts w:hint="eastAsia" w:ascii="宋体" w:hAnsi="宋体" w:cs="宋体"/>
          <w:bCs/>
          <w:sz w:val="21"/>
          <w:szCs w:val="21"/>
          <w:u w:val="single"/>
        </w:rPr>
        <w:t xml:space="preserve">14</w:t>
      </w:r>
      <w:r>
        <w:rPr>
          <w:rFonts w:hint="eastAsia" w:ascii="宋体" w:hAnsi="宋体" w:cs="宋体"/>
          <w:bCs/>
          <w:sz w:val="21"/>
          <w:szCs w:val="21"/>
          <w:u w:val="single"/>
          <w:lang w:val="zh-CN"/>
        </w:rPr>
        <w:t xml:space="preserve">点  </w:t>
      </w:r>
      <w:r>
        <w:rPr>
          <w:rFonts w:hint="eastAsia" w:ascii="宋体" w:hAnsi="宋体" w:cs="宋体"/>
          <w:bCs/>
          <w:sz w:val="21"/>
          <w:szCs w:val="21"/>
          <w:u w:val="single"/>
        </w:rPr>
        <w:t xml:space="preserve">30</w:t>
      </w:r>
      <w:r>
        <w:rPr>
          <w:rFonts w:hint="eastAsia" w:ascii="宋体" w:hAnsi="宋体" w:cs="宋体"/>
          <w:bCs/>
          <w:sz w:val="21"/>
          <w:szCs w:val="21"/>
          <w:u w:val="single"/>
          <w:lang w:val="zh-CN"/>
        </w:rPr>
        <w:t xml:space="preserve"> 分（北京时间）</w:t>
      </w:r>
      <w:r>
        <w:rPr>
          <w:rFonts w:hint="eastAsia" w:ascii="宋体" w:hAnsi="宋体" w:cs="宋体"/>
          <w:bCs/>
          <w:sz w:val="21"/>
          <w:szCs w:val="21"/>
          <w:lang w:val="zh-CN"/>
        </w:rPr>
        <w:t xml:space="preserve">前递交响应文件。</w:t>
      </w:r>
      <w:bookmarkEnd w:id="11"/>
      <w:r/>
      <w:bookmarkEnd w:id="12"/>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一、项目基本情况 </w:t>
      </w:r>
      <w:r/>
    </w:p>
    <w:p>
      <w:pPr>
        <w:pStyle w:val="1015"/>
        <w:ind w:left="0" w:firstLine="420"/>
        <w:spacing w:line="360" w:lineRule="auto"/>
        <w:rPr>
          <w:rFonts w:hint="eastAsia" w:ascii="宋体" w:hAnsi="宋体" w:eastAsia="宋体" w:cs="宋体"/>
          <w:bCs/>
          <w:sz w:val="21"/>
          <w:szCs w:val="21"/>
          <w:lang w:eastAsia="zh-CN"/>
        </w:rPr>
      </w:pPr>
      <w:r>
        <w:rPr>
          <w:rFonts w:hint="eastAsia" w:ascii="宋体" w:hAnsi="宋体" w:cs="宋体"/>
          <w:bCs/>
          <w:sz w:val="21"/>
          <w:szCs w:val="21"/>
        </w:rPr>
        <w:t xml:space="preserve">1、项目编号：</w:t>
      </w:r>
      <w:r>
        <w:rPr>
          <w:rFonts w:hint="eastAsia" w:ascii="宋体" w:hAnsi="宋体" w:cs="宋体"/>
          <w:bCs/>
          <w:sz w:val="21"/>
          <w:szCs w:val="21"/>
          <w:lang w:eastAsia="zh-CN"/>
        </w:rPr>
        <w:t xml:space="preserve">JSZC-320500-SZSC-C2025-0023</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2、项目名称：</w:t>
      </w:r>
      <w:r>
        <w:rPr>
          <w:rFonts w:hint="eastAsia" w:ascii="宋体" w:hAnsi="宋体"/>
          <w:sz w:val="21"/>
          <w:szCs w:val="21"/>
        </w:rPr>
        <w:t xml:space="preserve">2026年市控空气站六参数数据质控审核辅助服务</w:t>
      </w:r>
      <w:r>
        <w:rPr>
          <w:rFonts w:ascii="宋体" w:hAnsi="宋体" w:cs="宋体"/>
          <w:bCs/>
          <w:sz w:val="21"/>
          <w:szCs w:val="21"/>
        </w:rPr>
        <w:t xml:space="preserve"> </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3、采购方式：竞争性磋商</w:t>
      </w:r>
      <w:r/>
    </w:p>
    <w:p>
      <w:pPr>
        <w:pStyle w:val="1015"/>
        <w:ind w:left="0" w:firstLine="420"/>
        <w:spacing w:line="360" w:lineRule="auto"/>
        <w:rPr>
          <w:rFonts w:hint="eastAsia" w:ascii="宋体" w:hAnsi="宋体" w:cs="宋体"/>
          <w:bCs/>
          <w:sz w:val="21"/>
          <w:szCs w:val="21"/>
          <w:lang w:val="en-US"/>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人民币壹佰壹拾叁万陆仟元整（¥1136000.00）</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lang w:val="en-US"/>
        </w:rPr>
        <w:t xml:space="preserve">人民币壹佰壹拾叁万陆仟元整（¥1136000.00）</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6、服务期限：</w:t>
      </w:r>
      <w:bookmarkStart w:id="17" w:name="_Hlk161067061"/>
      <w:r>
        <w:rPr>
          <w:rFonts w:hint="eastAsia" w:ascii="宋体" w:hAnsi="宋体" w:cs="宋体"/>
          <w:bCs/>
          <w:sz w:val="21"/>
          <w:szCs w:val="21"/>
        </w:rPr>
        <w:t xml:space="preserve">202</w:t>
      </w:r>
      <w:r>
        <w:rPr>
          <w:rFonts w:hint="eastAsia" w:ascii="宋体" w:hAnsi="宋体" w:cs="宋体"/>
          <w:bCs/>
          <w:sz w:val="21"/>
          <w:szCs w:val="21"/>
          <w:lang w:val="en-US"/>
        </w:rPr>
        <w:t xml:space="preserve">6</w:t>
      </w:r>
      <w:r>
        <w:rPr>
          <w:rFonts w:hint="eastAsia" w:ascii="宋体" w:hAnsi="宋体" w:cs="宋体"/>
          <w:bCs/>
          <w:sz w:val="21"/>
          <w:szCs w:val="21"/>
        </w:rPr>
        <w:t xml:space="preserve">年2月1日—202</w:t>
      </w:r>
      <w:r>
        <w:rPr>
          <w:rFonts w:hint="eastAsia" w:ascii="宋体" w:hAnsi="宋体" w:cs="宋体"/>
          <w:bCs/>
          <w:sz w:val="21"/>
          <w:szCs w:val="21"/>
          <w:lang w:val="en-US"/>
        </w:rPr>
        <w:t xml:space="preserve">7</w:t>
      </w:r>
      <w:r>
        <w:rPr>
          <w:rFonts w:hint="eastAsia" w:ascii="宋体" w:hAnsi="宋体" w:cs="宋体"/>
          <w:bCs/>
          <w:sz w:val="21"/>
          <w:szCs w:val="21"/>
        </w:rPr>
        <w:t xml:space="preserve">年1月31日</w:t>
      </w:r>
      <w:bookmarkEnd w:id="17"/>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7、采购需求：</w:t>
      </w:r>
      <w:r>
        <w:rPr>
          <w:rFonts w:hint="eastAsia" w:ascii="宋体" w:hAnsi="宋体"/>
          <w:sz w:val="21"/>
          <w:szCs w:val="21"/>
        </w:rPr>
        <w:t xml:space="preserve">2026年市控空气站六参数数据质控审核辅助服务</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二、供应商的资格要求 </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（1）具有独立承担民事责任的能力；</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（6）法律、行政法规规定的其他条件。 </w:t>
      </w:r>
      <w:r/>
    </w:p>
    <w:p>
      <w:pPr>
        <w:pStyle w:val="1015"/>
        <w:ind w:left="0" w:firstLine="420"/>
        <w:spacing w:line="360" w:lineRule="auto"/>
        <w:rPr>
          <w:rFonts w:hint="eastAsia"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3、本项目的特定资格要求：无</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三、获取采购文件 </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1、时间：自公告发布之日起5个工作日</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2、地点：“苏采云”系统自行下载采购文件</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3、方式：</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（1）CA证书办理</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r>
        <w:rPr>
          <w:rFonts w:hint="eastAsia" w:ascii="宋体" w:hAnsi="宋体" w:cs="宋体"/>
          <w:bCs/>
          <w:sz w:val="21"/>
          <w:szCs w:val="21"/>
        </w:rPr>
        <w:t xml:space="preserve">苏州市高新区邓尉路105号狮山科技馆</w:t>
      </w:r>
      <w:r>
        <w:rPr>
          <w:rFonts w:hint="eastAsia" w:ascii="宋体" w:hAnsi="宋体" w:cs="宋体"/>
          <w:bCs/>
          <w:sz w:val="21"/>
          <w:szCs w:val="21"/>
          <w:lang w:val="en-US"/>
        </w:rPr>
        <w:t xml:space="preserve">1</w:t>
      </w:r>
      <w:r>
        <w:rPr>
          <w:rFonts w:hint="eastAsia" w:ascii="宋体" w:hAnsi="宋体" w:cs="宋体"/>
          <w:bCs/>
          <w:sz w:val="21"/>
          <w:szCs w:val="21"/>
        </w:rPr>
        <w:t xml:space="preserve">楼。</w:t>
      </w:r>
      <w:r/>
    </w:p>
    <w:p>
      <w:pPr>
        <w:pStyle w:val="1015"/>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18261002950</w:t>
      </w:r>
      <w:r>
        <w:rPr>
          <w:rFonts w:hint="eastAsia" w:ascii="宋体" w:hAnsi="宋体"/>
          <w:sz w:val="21"/>
          <w:szCs w:val="21"/>
        </w:rPr>
        <w:t xml:space="preserve">；</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系统使用指导与咨询：联系电话：18261002950；QQ：3048755361、1315179389、895706745。</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4、售价：免费</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四、响应文件提交</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hint="eastAsia" w:ascii="宋体" w:hAnsi="宋体" w:cs="宋体"/>
          <w:bCs/>
          <w:sz w:val="21"/>
          <w:szCs w:val="21"/>
          <w:u w:val="single"/>
          <w:lang w:val="en-US"/>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lang w:val="en-US" w:eastAsia="zh-CN"/>
        </w:rPr>
        <w:t xml:space="preserve">1</w:t>
      </w:r>
      <w:r>
        <w:rPr>
          <w:rFonts w:hint="eastAsia" w:ascii="宋体" w:hAnsi="宋体" w:cs="宋体"/>
          <w:bCs/>
          <w:sz w:val="21"/>
          <w:szCs w:val="21"/>
          <w:u w:val="single"/>
        </w:rPr>
        <w:t xml:space="preserve">月</w:t>
      </w:r>
      <w:r>
        <w:rPr>
          <w:rFonts w:hint="eastAsia" w:ascii="宋体" w:hAnsi="宋体" w:cs="宋体"/>
          <w:bCs/>
          <w:sz w:val="21"/>
          <w:szCs w:val="21"/>
          <w:u w:val="single"/>
          <w:lang w:val="en-US" w:eastAsia="zh-CN"/>
        </w:rPr>
        <w:t xml:space="preserve"> 13 </w:t>
      </w:r>
      <w:r>
        <w:rPr>
          <w:rFonts w:hint="eastAsia" w:ascii="宋体" w:hAnsi="宋体" w:cs="宋体"/>
          <w:bCs/>
          <w:sz w:val="21"/>
          <w:szCs w:val="21"/>
          <w:u w:val="single"/>
        </w:rPr>
        <w:t xml:space="preserve">日 </w:t>
      </w:r>
      <w:r>
        <w:rPr>
          <w:rFonts w:hint="eastAsia" w:ascii="宋体" w:hAnsi="宋体" w:cs="宋体"/>
          <w:bCs/>
          <w:sz w:val="21"/>
          <w:szCs w:val="21"/>
          <w:u w:val="single"/>
          <w:lang w:val="en-US"/>
        </w:rPr>
        <w:t xml:space="preserve">1</w:t>
      </w:r>
      <w:r>
        <w:rPr>
          <w:rFonts w:hint="eastAsia" w:ascii="宋体" w:hAnsi="宋体" w:cs="宋体"/>
          <w:bCs/>
          <w:sz w:val="21"/>
          <w:szCs w:val="21"/>
          <w:u w:val="single"/>
          <w:lang w:val="en-US" w:eastAsia="zh-CN"/>
        </w:rPr>
        <w:t xml:space="preserve">3</w:t>
      </w:r>
      <w:r>
        <w:rPr>
          <w:rFonts w:hint="eastAsia" w:ascii="宋体" w:hAnsi="宋体" w:cs="宋体"/>
          <w:bCs/>
          <w:sz w:val="21"/>
          <w:szCs w:val="21"/>
          <w:u w:val="single"/>
        </w:rPr>
        <w:t xml:space="preserve">点 </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 分</w:t>
      </w:r>
      <w:r>
        <w:rPr>
          <w:rFonts w:hint="eastAsia" w:ascii="宋体" w:hAnsi="宋体" w:cs="宋体"/>
          <w:bCs/>
          <w:sz w:val="21"/>
          <w:szCs w:val="21"/>
        </w:rPr>
        <w:t xml:space="preserve">（北京时间）；</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5"/>
        <w:ind w:left="0" w:firstLine="420"/>
        <w:spacing w:line="360" w:lineRule="auto"/>
        <w:rPr>
          <w:rFonts w:hint="eastAsia"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五、开启</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hint="eastAsia" w:ascii="宋体" w:hAnsi="宋体" w:cs="宋体"/>
          <w:bCs/>
          <w:sz w:val="21"/>
          <w:szCs w:val="21"/>
          <w:u w:val="single"/>
          <w:lang w:val="en-US"/>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lang w:val="en-US" w:eastAsia="zh-CN"/>
        </w:rPr>
        <w:t xml:space="preserve">1</w:t>
      </w:r>
      <w:r>
        <w:rPr>
          <w:rFonts w:hint="eastAsia" w:ascii="宋体" w:hAnsi="宋体" w:cs="宋体"/>
          <w:bCs/>
          <w:sz w:val="21"/>
          <w:szCs w:val="21"/>
          <w:u w:val="single"/>
        </w:rPr>
        <w:t xml:space="preserve">月 </w:t>
      </w:r>
      <w:r>
        <w:rPr>
          <w:rFonts w:hint="eastAsia" w:ascii="宋体" w:hAnsi="宋体" w:cs="宋体"/>
          <w:bCs/>
          <w:sz w:val="21"/>
          <w:szCs w:val="21"/>
          <w:u w:val="single"/>
          <w:lang w:val="en-US" w:eastAsia="zh-CN"/>
        </w:rPr>
        <w:t xml:space="preserve">13 </w:t>
      </w:r>
      <w:r>
        <w:rPr>
          <w:rFonts w:hint="eastAsia" w:ascii="宋体" w:hAnsi="宋体" w:cs="宋体"/>
          <w:bCs/>
          <w:sz w:val="21"/>
          <w:szCs w:val="21"/>
          <w:u w:val="single"/>
        </w:rPr>
        <w:t xml:space="preserve">日 </w:t>
      </w:r>
      <w:r>
        <w:rPr>
          <w:rFonts w:hint="eastAsia" w:ascii="宋体" w:hAnsi="宋体" w:cs="宋体"/>
          <w:bCs/>
          <w:sz w:val="21"/>
          <w:szCs w:val="21"/>
          <w:u w:val="single"/>
          <w:lang w:val="en-US"/>
        </w:rPr>
        <w:t xml:space="preserve">1</w:t>
      </w:r>
      <w:r>
        <w:rPr>
          <w:rFonts w:hint="eastAsia" w:ascii="宋体" w:hAnsi="宋体" w:cs="宋体"/>
          <w:bCs/>
          <w:sz w:val="21"/>
          <w:szCs w:val="21"/>
          <w:u w:val="single"/>
          <w:lang w:val="en-US" w:eastAsia="zh-CN"/>
        </w:rPr>
        <w:t xml:space="preserve">3</w:t>
      </w:r>
      <w:r>
        <w:rPr>
          <w:rFonts w:hint="eastAsia" w:ascii="宋体" w:hAnsi="宋体" w:cs="宋体"/>
          <w:bCs/>
          <w:sz w:val="21"/>
          <w:szCs w:val="21"/>
          <w:u w:val="single"/>
        </w:rPr>
        <w:t xml:space="preserve">点 </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 分</w:t>
      </w:r>
      <w:r>
        <w:rPr>
          <w:rFonts w:hint="eastAsia" w:ascii="宋体" w:hAnsi="宋体" w:cs="宋体"/>
          <w:bCs/>
          <w:sz w:val="21"/>
          <w:szCs w:val="21"/>
        </w:rPr>
        <w:t xml:space="preserve">（北京时间）；</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2、地点：“苏采云”系统（网址：http://jszfcg.jsczt.cn/）</w:t>
      </w:r>
      <w:r/>
    </w:p>
    <w:p>
      <w:pPr>
        <w:pStyle w:val="1015"/>
        <w:ind w:left="0" w:firstLine="420"/>
        <w:spacing w:line="360" w:lineRule="auto"/>
        <w:rPr>
          <w:rFonts w:hint="eastAsia"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六、公告期限</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自本公告发布之日起 </w:t>
      </w:r>
      <w:r>
        <w:rPr>
          <w:rFonts w:hint="eastAsia" w:ascii="宋体" w:hAnsi="宋体" w:cs="宋体"/>
          <w:bCs/>
          <w:sz w:val="21"/>
          <w:szCs w:val="21"/>
          <w:lang w:val="en-US" w:eastAsia="zh-CN"/>
        </w:rPr>
        <w:t xml:space="preserve">5</w:t>
      </w:r>
      <w:r>
        <w:rPr>
          <w:rFonts w:hint="eastAsia" w:ascii="宋体" w:hAnsi="宋体" w:cs="宋体"/>
          <w:bCs/>
          <w:sz w:val="21"/>
          <w:szCs w:val="21"/>
        </w:rPr>
        <w:t xml:space="preserve">个工作日</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七、其他补充事宜</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本项目获取采购文件截止日期之后仍可以下载采购文件，但截止日期之后下载的采购文件，视为非有效方式且不作为供应商权益受到损害的证明材料和依据。</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1.采购人信息 </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名称：苏州市生态环境局                                        </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地址：苏州市竹园路8号</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联系人：姚洁玉</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0512-65112857</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2.采购代理机构信息 </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名称：苏州市诚源招投标代理有限公司 </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地址：苏州市姑苏区金门路1072号金门国际商业广场C区6楼 </w:t>
      </w:r>
      <w:r/>
    </w:p>
    <w:p>
      <w:pPr>
        <w:pStyle w:val="1015"/>
        <w:ind w:left="0" w:firstLine="420"/>
        <w:spacing w:line="360" w:lineRule="auto"/>
        <w:rPr>
          <w:rFonts w:hint="eastAsia" w:ascii="宋体" w:hAnsi="宋体" w:cs="宋体"/>
          <w:bCs/>
          <w:sz w:val="21"/>
          <w:szCs w:val="21"/>
          <w:lang w:val="en-US"/>
        </w:rPr>
      </w:pPr>
      <w:r>
        <w:rPr>
          <w:rFonts w:hint="eastAsia" w:ascii="宋体" w:hAnsi="宋体" w:cs="宋体"/>
          <w:bCs/>
          <w:sz w:val="21"/>
          <w:szCs w:val="21"/>
        </w:rPr>
        <w:t xml:space="preserve">联系方式：0512-</w:t>
      </w:r>
      <w:r>
        <w:rPr>
          <w:rFonts w:hint="eastAsia" w:ascii="宋体" w:hAnsi="宋体" w:cs="宋体"/>
          <w:bCs/>
          <w:sz w:val="21"/>
          <w:szCs w:val="21"/>
          <w:lang w:val="en-US"/>
        </w:rPr>
        <w:t xml:space="preserve">65115979</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3.项目联系方式</w:t>
      </w:r>
      <w:r/>
    </w:p>
    <w:p>
      <w:pPr>
        <w:pStyle w:val="1015"/>
        <w:ind w:left="0" w:firstLine="420"/>
        <w:spacing w:line="360" w:lineRule="auto"/>
        <w:rPr>
          <w:rFonts w:hint="eastAsia" w:ascii="宋体" w:hAnsi="宋体"/>
          <w:sz w:val="21"/>
          <w:szCs w:val="21"/>
          <w:lang w:val="en-US"/>
        </w:rPr>
      </w:pPr>
      <w:r>
        <w:rPr>
          <w:rFonts w:hint="eastAsia" w:ascii="宋体" w:hAnsi="宋体" w:cs="宋体"/>
          <w:bCs/>
          <w:sz w:val="21"/>
          <w:szCs w:val="21"/>
        </w:rPr>
        <w:t xml:space="preserve">项目联系人：</w:t>
      </w:r>
      <w:r>
        <w:rPr>
          <w:rFonts w:hint="eastAsia" w:ascii="宋体" w:hAnsi="宋体"/>
          <w:sz w:val="21"/>
          <w:szCs w:val="21"/>
          <w:lang w:val="en-US"/>
        </w:rPr>
        <w:t xml:space="preserve">金兰</w:t>
      </w:r>
      <w:r/>
    </w:p>
    <w:p>
      <w:pPr>
        <w:pStyle w:val="1015"/>
        <w:ind w:left="0" w:firstLine="420"/>
        <w:spacing w:line="360" w:lineRule="auto"/>
        <w:rPr>
          <w:rFonts w:hint="eastAsia" w:ascii="宋体" w:hAnsi="宋体" w:cs="宋体"/>
          <w:bCs/>
          <w:sz w:val="21"/>
          <w:szCs w:val="21"/>
          <w:lang w:val="en-US"/>
        </w:rPr>
      </w:pPr>
      <w:r>
        <w:rPr>
          <w:rFonts w:hint="eastAsia" w:ascii="宋体" w:hAnsi="宋体" w:cs="宋体"/>
          <w:bCs/>
          <w:sz w:val="21"/>
          <w:szCs w:val="21"/>
        </w:rPr>
        <w:t xml:space="preserve">电话：</w:t>
      </w:r>
      <w:r>
        <w:rPr>
          <w:rFonts w:hint="eastAsia" w:ascii="宋体" w:hAnsi="宋体"/>
          <w:sz w:val="21"/>
          <w:szCs w:val="21"/>
          <w:lang w:val="en-US"/>
        </w:rPr>
        <w:t xml:space="preserve">0512-69228578</w:t>
      </w:r>
      <w:r/>
    </w:p>
    <w:p>
      <w:pPr>
        <w:ind w:left="0" w:firstLine="420"/>
        <w:spacing w:line="360" w:lineRule="auto"/>
        <w:rPr>
          <w:rFonts w:hint="eastAsia" w:ascii="宋体" w:hAnsi="宋体"/>
          <w:sz w:val="21"/>
          <w:szCs w:val="21"/>
        </w:rPr>
      </w:pPr>
      <w:r>
        <w:rPr>
          <w:rFonts w:hint="eastAsia" w:ascii="宋体" w:hAnsi="宋体"/>
          <w:sz w:val="21"/>
          <w:szCs w:val="21"/>
        </w:rPr>
      </w:r>
      <w:r/>
    </w:p>
    <w:p>
      <w:pPr>
        <w:pStyle w:val="999"/>
        <w:ind w:left="0" w:firstLine="0"/>
        <w:jc w:val="center"/>
        <w:spacing w:line="360" w:lineRule="auto"/>
        <w:rPr>
          <w:rFonts w:hint="eastAsia" w:ascii="宋体" w:hAnsi="宋体"/>
          <w:b/>
          <w:sz w:val="44"/>
          <w:szCs w:val="44"/>
        </w:rPr>
      </w:pPr>
      <w:r>
        <w:rPr>
          <w:b/>
          <w:sz w:val="44"/>
          <w:szCs w:val="44"/>
        </w:rPr>
        <w:br w:type="page" w:clear="all"/>
      </w:r>
      <w:bookmarkStart w:id="18" w:name="_Toc73000674"/>
      <w:r/>
      <w:bookmarkStart w:id="19" w:name="_Toc68611035"/>
      <w:r/>
      <w:bookmarkStart w:id="20" w:name="_Toc11400"/>
      <w:r>
        <w:rPr>
          <w:rFonts w:hint="eastAsia"/>
          <w:b/>
          <w:sz w:val="44"/>
          <w:szCs w:val="44"/>
        </w:rPr>
        <w:t xml:space="preserve">第二章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1015"/>
        <w:ind w:left="0" w:firstLine="422"/>
        <w:spacing w:line="360" w:lineRule="auto"/>
        <w:rPr>
          <w:rFonts w:hint="eastAsia" w:ascii="宋体" w:hAnsi="宋体" w:cs="宋体"/>
          <w:b/>
          <w:sz w:val="21"/>
          <w:szCs w:val="21"/>
        </w:rPr>
      </w:pPr>
      <w:r/>
      <w:bookmarkStart w:id="22" w:name="_Toc7264"/>
      <w:r/>
      <w:bookmarkStart w:id="23" w:name="_Toc57376407"/>
      <w:r/>
      <w:bookmarkStart w:id="24" w:name="_Toc58248881"/>
      <w:r/>
      <w:bookmarkStart w:id="25" w:name="_Toc24711"/>
      <w:r>
        <w:rPr>
          <w:rFonts w:hint="eastAsia" w:ascii="宋体" w:hAnsi="宋体" w:cs="宋体"/>
          <w:b/>
          <w:sz w:val="21"/>
          <w:szCs w:val="21"/>
        </w:rPr>
        <w:t xml:space="preserve">一、响应文件的组成及要求</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1、封面</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2、开标一览表</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3、资格审查响应文件</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3.2磋商响应单位基本情况表（格式见第三章）；</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3.3磋商响应单位法定代表人身份证复印件；</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3.4法定代表人授权委托书（如有授权，格式见第三章）；</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3.5磋商响应单位授权代理人身份证复印件（如有授权）；</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3.6合格供应商的基本条件</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3.6.1具有独立承担民事责任的能力证明。包括法人或者其他组织的营业执照等证明文件，自然人的身份证明；</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3.6.2具有良好的商业信誉和健全的财务会计制度证明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3.6.3履行合同所必需的设备和专业技术能力的证明材料或承诺；</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3.6.4有依法缴纳税收和社会保障资金的良好记录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w:t>
      </w:r>
      <w:r>
        <w:rPr>
          <w:rFonts w:hint="eastAsia" w:ascii="宋体" w:hAnsi="宋体"/>
          <w:b/>
          <w:sz w:val="21"/>
          <w:szCs w:val="21"/>
          <w:lang w:val="en-US"/>
        </w:rPr>
        <w:t xml:space="preserve">并列出详细缴费人员的明细清单</w:t>
      </w:r>
      <w:r>
        <w:rPr>
          <w:rFonts w:hint="eastAsia" w:ascii="宋体" w:hAnsi="宋体"/>
          <w:b/>
          <w:sz w:val="21"/>
          <w:szCs w:val="21"/>
        </w:rPr>
        <w:t xml:space="preserve">，如相关主管部门证明或银行代扣证明。响应单位如依法享受缓缴、免缴税收、社会保障资金的应提供相关主管部门出具的证明材料）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3.6.5参加政府采购活动前三年内在经营活动中没有重大违法记录的书面声明函；</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5"/>
        <w:ind w:left="0" w:firstLine="420"/>
        <w:spacing w:line="360" w:lineRule="auto"/>
        <w:rPr>
          <w:rFonts w:hint="eastAsia"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8</w:t>
      </w:r>
      <w:r>
        <w:rPr>
          <w:rFonts w:hint="eastAsia" w:ascii="宋体" w:hAnsi="宋体" w:cs="宋体"/>
          <w:bCs/>
          <w:sz w:val="21"/>
          <w:szCs w:val="21"/>
        </w:rPr>
        <w:t xml:space="preserve">其它有关资格证明的文件；</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4、符合性审查响应文件</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5"/>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5、综合评审响应文件</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5.1</w:t>
      </w:r>
      <w:r>
        <w:rPr>
          <w:rFonts w:hint="eastAsia" w:ascii="宋体" w:hAnsi="宋体" w:cs="宋体"/>
          <w:b/>
          <w:bCs/>
          <w:sz w:val="21"/>
          <w:szCs w:val="21"/>
          <w:lang w:val="en-US"/>
        </w:rPr>
        <w:t xml:space="preserve">运维</w:t>
      </w:r>
      <w:r>
        <w:rPr>
          <w:rFonts w:hint="eastAsia" w:ascii="宋体" w:hAnsi="宋体" w:cs="宋体"/>
          <w:b/>
          <w:bCs/>
          <w:sz w:val="21"/>
          <w:szCs w:val="21"/>
        </w:rPr>
        <w:t xml:space="preserve">方案</w:t>
      </w:r>
      <w:r/>
    </w:p>
    <w:p>
      <w:pPr>
        <w:pStyle w:val="1015"/>
        <w:ind w:left="0" w:firstLine="422"/>
        <w:spacing w:line="360" w:lineRule="auto"/>
        <w:rPr>
          <w:rFonts w:hint="eastAsia" w:ascii="宋体" w:hAnsi="宋体" w:cs="宋体"/>
          <w:b/>
          <w:bCs/>
          <w:sz w:val="21"/>
          <w:szCs w:val="21"/>
          <w:lang w:val="en-US"/>
        </w:rPr>
      </w:pPr>
      <w:r>
        <w:rPr>
          <w:rFonts w:hint="eastAsia" w:ascii="宋体" w:hAnsi="宋体" w:cs="宋体"/>
          <w:b/>
          <w:bCs/>
          <w:sz w:val="21"/>
          <w:szCs w:val="21"/>
        </w:rPr>
        <w:t xml:space="preserve">5.2</w:t>
      </w:r>
      <w:r>
        <w:rPr>
          <w:rFonts w:hint="eastAsia" w:ascii="宋体" w:hAnsi="宋体" w:cs="宋体"/>
          <w:b/>
          <w:bCs/>
          <w:sz w:val="21"/>
          <w:szCs w:val="21"/>
          <w:lang w:val="en-US"/>
        </w:rPr>
        <w:t xml:space="preserve">团队能力</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5.3 履约能力</w:t>
      </w:r>
      <w:r/>
    </w:p>
    <w:p>
      <w:pPr>
        <w:pStyle w:val="1015"/>
        <w:ind w:left="0" w:firstLine="422"/>
        <w:spacing w:line="360" w:lineRule="auto"/>
        <w:rPr>
          <w:rFonts w:hint="eastAsia" w:ascii="宋体" w:hAnsi="宋体" w:cs="宋体"/>
          <w:b/>
          <w:bCs/>
          <w:sz w:val="21"/>
          <w:szCs w:val="21"/>
          <w:lang w:val="en-US"/>
        </w:rPr>
      </w:pPr>
      <w:r>
        <w:rPr>
          <w:rFonts w:hint="eastAsia" w:ascii="宋体" w:hAnsi="宋体" w:cs="宋体"/>
          <w:b/>
          <w:bCs/>
          <w:sz w:val="21"/>
          <w:szCs w:val="21"/>
          <w:lang w:val="en-US"/>
        </w:rPr>
        <w:t xml:space="preserve">5.4类似业绩</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5.</w:t>
      </w:r>
      <w:r>
        <w:rPr>
          <w:rFonts w:hint="eastAsia" w:ascii="宋体" w:hAnsi="宋体" w:cs="宋体"/>
          <w:b/>
          <w:bCs/>
          <w:sz w:val="21"/>
          <w:szCs w:val="21"/>
          <w:lang w:val="en-US"/>
        </w:rPr>
        <w:t xml:space="preserve">5</w:t>
      </w:r>
      <w:r>
        <w:rPr>
          <w:rFonts w:hint="eastAsia" w:ascii="宋体" w:hAnsi="宋体" w:cs="宋体"/>
          <w:b/>
          <w:bCs/>
          <w:sz w:val="21"/>
          <w:szCs w:val="21"/>
        </w:rPr>
        <w:t xml:space="preserve">与本次采购相关的其他证明材料；</w:t>
      </w:r>
      <w:r/>
    </w:p>
    <w:p>
      <w:pPr>
        <w:pStyle w:val="1015"/>
        <w:ind w:left="0" w:firstLine="420"/>
        <w:spacing w:line="360" w:lineRule="auto"/>
        <w:rPr>
          <w:rFonts w:hint="eastAsia"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注：（1）以上3.1-3.8为资格审查要求提供的材料，是作为对供应商资格审查、质疑身份认定的依据，响应供应商必须提供并加盖电子公章。否则，磋商响应文件将被认定为不符合资格审查要求。</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（2）以上4.1-4.5为符合性审查须提供的资料，响应供应商必须提供并加盖电子公章。否则，磋商响应文件将被认定为未实质性响应。</w:t>
      </w:r>
      <w:r/>
    </w:p>
    <w:p>
      <w:pPr>
        <w:pStyle w:val="1015"/>
        <w:ind w:left="0" w:firstLine="422"/>
        <w:spacing w:line="360" w:lineRule="auto"/>
        <w:rPr>
          <w:rFonts w:hint="eastAsia"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p>
    <w:p>
      <w:pPr>
        <w:pStyle w:val="1015"/>
        <w:ind w:left="0" w:firstLine="422"/>
        <w:spacing w:line="360" w:lineRule="auto"/>
        <w:rPr>
          <w:rFonts w:hint="eastAsia"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5"/>
        <w:ind w:left="0" w:firstLine="422"/>
        <w:spacing w:line="360" w:lineRule="auto"/>
        <w:rPr>
          <w:rFonts w:hint="eastAsia"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15"/>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5"/>
        <w:ind w:left="0" w:firstLine="420"/>
        <w:spacing w:line="360" w:lineRule="auto"/>
        <w:rPr>
          <w:rFonts w:hint="eastAsia"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1015"/>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二、磋商程序</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7"/>
        <w:ind w:left="0" w:firstLine="422"/>
        <w:spacing w:line="360" w:lineRule="auto"/>
        <w:rPr>
          <w:rFonts w:hint="eastAsia"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5"/>
        <w:ind w:left="0" w:firstLine="420"/>
        <w:spacing w:line="360" w:lineRule="auto"/>
        <w:rPr>
          <w:rFonts w:hint="eastAsia"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5"/>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1015"/>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11、经磋商确定最终采购需求和提交最后报价的供应商后，由磋商小组采用综合评分法对提交最后报价的供应商的响应文件和最后报价进行综合评分。</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12、磋商小组根据磋商成交原则确定成交供应商，并将结果通知所有参加磋商的供应商。</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13、如磋商过程中出现本采购文件未尽事宜，由磋商小组根据政府采购有关法律、法规讨论决定。</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三、质疑处理</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（2）质疑项目的名称、编号；</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（4）事实依据；</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（5）必要的法律依据；</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（6）提出质疑的日期。</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hint="eastAsia"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质疑联系人：金兰</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联系电话：0512-65115979</w:t>
      </w:r>
      <w:r/>
    </w:p>
    <w:p>
      <w:pPr>
        <w:pStyle w:val="1015"/>
        <w:ind w:left="0" w:firstLine="420"/>
        <w:spacing w:line="360" w:lineRule="auto"/>
        <w:rPr>
          <w:rFonts w:hint="eastAsia" w:ascii="宋体" w:hAnsi="宋体"/>
          <w:sz w:val="21"/>
          <w:szCs w:val="21"/>
        </w:rPr>
      </w:pPr>
      <w:r>
        <w:rPr>
          <w:rFonts w:hint="eastAsia" w:ascii="宋体" w:hAnsi="宋体"/>
          <w:sz w:val="21"/>
          <w:szCs w:val="21"/>
        </w:rPr>
        <w:t xml:space="preserve">现场递交地址:苏州市姑苏区金门路1072号金门国际商业广场C区6楼</w:t>
      </w:r>
      <w:r/>
    </w:p>
    <w:p>
      <w:pPr>
        <w:pStyle w:val="1015"/>
        <w:ind w:left="0" w:firstLine="420"/>
        <w:spacing w:line="360" w:lineRule="auto"/>
        <w:rPr>
          <w:rFonts w:hint="eastAsia" w:ascii="宋体" w:hAnsi="宋体" w:cs="宋体"/>
          <w:b/>
          <w:sz w:val="21"/>
          <w:szCs w:val="21"/>
        </w:rPr>
      </w:pPr>
      <w:r>
        <w:rPr>
          <w:rFonts w:hint="eastAsia" w:ascii="宋体" w:hAnsi="宋体"/>
          <w:sz w:val="21"/>
          <w:szCs w:val="21"/>
        </w:rPr>
        <w:t xml:space="preserve">邮寄收取地址: 苏州市姑苏区金门路1072号金门国际商业广场C区6楼</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出现下列情形之一的，将终止竞争性磋商采购活动：</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2、出现影响采购公正的违法、违规行为的；</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3、在采购活动中因重大变故，采购任务取消的。</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5"/>
        <w:ind w:left="0" w:firstLine="422"/>
        <w:spacing w:line="360" w:lineRule="auto"/>
        <w:rPr>
          <w:rFonts w:hint="eastAsia" w:ascii="宋体" w:hAnsi="宋体" w:cs="宋体"/>
          <w:b/>
          <w:sz w:val="21"/>
          <w:szCs w:val="21"/>
        </w:rPr>
      </w:pPr>
      <w:r>
        <w:rPr>
          <w:rFonts w:hint="eastAsia" w:ascii="宋体" w:hAnsi="宋体" w:cs="宋体"/>
          <w:b/>
          <w:sz w:val="21"/>
          <w:szCs w:val="21"/>
        </w:rPr>
        <w:t xml:space="preserve">五、综合说明及其它要求：</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1、磋商供应商需明确详细的服务方案。</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5"/>
        <w:ind w:left="0" w:firstLine="420"/>
        <w:spacing w:line="360" w:lineRule="auto"/>
        <w:rPr>
          <w:rFonts w:hint="eastAsia"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（1）不符合供应商资格要求的响应文件将被认定为无效响应；</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）最终报价超过采购预算或最高限价的不能成交；</w:t>
      </w:r>
      <w:r/>
    </w:p>
    <w:p>
      <w:pPr>
        <w:pStyle w:val="1015"/>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）不实质性响应采购文件的不能成交。</w:t>
      </w:r>
      <w:r/>
    </w:p>
    <w:p>
      <w:pPr>
        <w:pStyle w:val="1015"/>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1、小、微企业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根据《政府采购促进中小企业发展管理办法》（财库〔2020〕46号）及《中小企业划型标准规定》（工信部联企业〔2011〕300号），本采购项目对应的中小企业划分标准所属行业为：其他服务业。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hint="eastAsia"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4、对存在失信信息的供应商，由失信供应商进行确认。同时，采购代理机构工作人员应根据评审小组确认的失信信息，登陆到相关来源网站页面进行复核并打印，作为证据留存。</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八、对供应商的机器码核查</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机器码核查中，出现不同供应商响应文件机器码一致情形的，响应文件将被认定为无效响应；</w:t>
      </w:r>
      <w:r/>
    </w:p>
    <w:p>
      <w:pPr>
        <w:ind w:left="0" w:firstLine="422"/>
        <w:spacing w:line="360" w:lineRule="auto"/>
        <w:tabs>
          <w:tab w:val="left" w:pos="420" w:leader="none"/>
        </w:tabs>
        <w:rPr>
          <w:rFonts w:hint="eastAsia" w:ascii="宋体" w:hAnsi="宋体" w:cs="宋体"/>
          <w:b/>
          <w:bCs/>
          <w:sz w:val="21"/>
          <w:szCs w:val="21"/>
        </w:rPr>
      </w:pPr>
      <w:r>
        <w:rPr>
          <w:rFonts w:hint="eastAsia" w:ascii="宋体" w:hAnsi="宋体" w:cs="宋体"/>
          <w:b/>
          <w:bCs/>
          <w:sz w:val="21"/>
          <w:szCs w:val="21"/>
        </w:rPr>
        <w:t xml:space="preserve">九、凡涉及采购文件的补充说明和修改，均以网上发布的通知为准。</w:t>
      </w:r>
      <w:r/>
    </w:p>
    <w:p>
      <w:pPr>
        <w:pStyle w:val="999"/>
        <w:ind w:left="0" w:firstLine="0"/>
        <w:jc w:val="center"/>
        <w:rPr>
          <w:rFonts w:hint="eastAsia" w:ascii="宋体" w:hAnsi="宋体" w:cs="宋体"/>
          <w:b/>
          <w:sz w:val="44"/>
          <w:szCs w:val="44"/>
          <w:lang w:val="zh-CN"/>
        </w:rPr>
      </w:pPr>
      <w:r>
        <w:rPr>
          <w:b/>
          <w:sz w:val="44"/>
          <w:szCs w:val="44"/>
        </w:rPr>
        <w:br w:type="page" w:clear="all"/>
      </w:r>
      <w:bookmarkEnd w:id="22"/>
      <w:r/>
      <w:bookmarkEnd w:id="23"/>
      <w:r/>
      <w:bookmarkEnd w:id="24"/>
      <w:r/>
      <w:bookmarkEnd w:id="25"/>
      <w:r/>
      <w:bookmarkStart w:id="26" w:name="_Toc14106"/>
      <w:r/>
      <w:bookmarkStart w:id="27" w:name="_Toc73000675"/>
      <w:r/>
      <w:bookmarkStart w:id="28" w:name="_Toc68611036"/>
      <w:r/>
      <w:bookmarkStart w:id="29" w:name="_Toc57376408"/>
      <w:r/>
      <w:bookmarkStart w:id="30" w:name="_Toc58248882"/>
      <w:r/>
      <w:bookmarkStart w:id="31" w:name="_Toc23660"/>
      <w:r/>
      <w:bookmarkStart w:id="32" w:name="_Toc4098"/>
      <w:r/>
      <w:bookmarkStart w:id="33" w:name="_Toc6898"/>
      <w:r/>
      <w:bookmarkStart w:id="34" w:name="_Toc68611037"/>
      <w:r/>
      <w:bookmarkStart w:id="35" w:name="_Toc73000676"/>
      <w:r>
        <w:rPr>
          <w:rFonts w:hint="eastAsia"/>
          <w:b/>
          <w:sz w:val="44"/>
          <w:szCs w:val="44"/>
        </w:rPr>
        <w:t xml:space="preserve">第三章</w:t>
      </w:r>
      <w:bookmarkStart w:id="36" w:name="投标文件格式"/>
      <w:r/>
      <w:bookmarkEnd w:id="36"/>
      <w:r>
        <w:rPr>
          <w:b/>
          <w:sz w:val="44"/>
          <w:szCs w:val="44"/>
        </w:rPr>
        <w:t xml:space="preserve"> </w:t>
      </w:r>
      <w:r>
        <w:rPr>
          <w:rFonts w:hint="eastAsia"/>
          <w:b/>
          <w:sz w:val="44"/>
          <w:szCs w:val="44"/>
        </w:rPr>
        <w:t xml:space="preserve">响应文件格式</w:t>
      </w:r>
      <w:bookmarkEnd w:id="26"/>
      <w:r/>
      <w:bookmarkEnd w:id="27"/>
      <w:r/>
      <w:bookmarkEnd w:id="28"/>
      <w:r/>
      <w:r/>
    </w:p>
    <w:p>
      <w:pPr>
        <w:ind w:left="0"/>
        <w:jc w:val="left"/>
        <w:spacing w:line="440" w:lineRule="exact"/>
        <w:rPr>
          <w:rFonts w:hint="eastAsia" w:ascii="宋体" w:hAnsi="宋体"/>
          <w:b/>
          <w:sz w:val="21"/>
          <w:szCs w:val="21"/>
        </w:rPr>
      </w:pPr>
      <w:r>
        <w:rPr>
          <w:rFonts w:ascii="宋体" w:hAnsi="宋体"/>
          <w:b/>
          <w:sz w:val="21"/>
          <w:szCs w:val="21"/>
        </w:rPr>
        <w:t xml:space="preserve">说明：</w:t>
      </w:r>
      <w:r/>
    </w:p>
    <w:p>
      <w:pPr>
        <w:pStyle w:val="1307"/>
        <w:ind w:left="0" w:firstLine="420"/>
        <w:rPr>
          <w:rFonts w:hint="eastAsia"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hint="eastAsia" w:ascii="宋体" w:hAnsi="宋体"/>
          <w:b/>
          <w:sz w:val="21"/>
          <w:szCs w:val="21"/>
        </w:rPr>
      </w:pPr>
      <w:r/>
      <w:bookmarkStart w:id="37" w:name="_Toc17036"/>
      <w:r/>
      <w:bookmarkStart w:id="38" w:name="_Toc3821"/>
      <w:r/>
      <w:r/>
    </w:p>
    <w:p>
      <w:pPr>
        <w:ind w:left="0"/>
        <w:rPr>
          <w:rFonts w:hint="eastAsia" w:ascii="宋体" w:hAnsi="宋体"/>
          <w:b/>
          <w:sz w:val="21"/>
          <w:szCs w:val="21"/>
        </w:rPr>
      </w:pPr>
      <w:r>
        <w:rPr>
          <w:rFonts w:hint="eastAsia" w:ascii="宋体" w:hAnsi="宋体"/>
          <w:b/>
          <w:sz w:val="21"/>
          <w:szCs w:val="21"/>
        </w:rPr>
      </w:r>
      <w:r/>
    </w:p>
    <w:p>
      <w:pPr>
        <w:pStyle w:val="999"/>
        <w:ind w:left="0" w:firstLine="0"/>
        <w:spacing w:before="0" w:after="0" w:line="360" w:lineRule="auto"/>
        <w:rPr>
          <w:rFonts w:hint="eastAsia" w:ascii="宋体" w:hAnsi="宋体"/>
          <w:b/>
          <w:sz w:val="21"/>
          <w:szCs w:val="21"/>
        </w:rPr>
      </w:pPr>
      <w:r>
        <w:rPr>
          <w:rFonts w:ascii="宋体" w:hAnsi="宋体"/>
          <w:b/>
          <w:sz w:val="21"/>
          <w:szCs w:val="21"/>
        </w:rPr>
        <w:t xml:space="preserve">附件</w:t>
      </w:r>
      <w:r>
        <w:rPr>
          <w:rFonts w:hint="eastAsia" w:ascii="宋体" w:hAnsi="宋体"/>
          <w:b/>
          <w:sz w:val="21"/>
          <w:szCs w:val="21"/>
        </w:rPr>
        <w:t xml:space="preserve">1.开标一览表</w:t>
      </w:r>
      <w:r/>
    </w:p>
    <w:p>
      <w:pPr>
        <w:ind w:left="0"/>
        <w:spacing w:line="360" w:lineRule="auto"/>
        <w:rPr>
          <w:rFonts w:hint="eastAsia" w:ascii="宋体" w:hAnsi="宋体"/>
          <w:sz w:val="21"/>
          <w:szCs w:val="21"/>
        </w:rPr>
      </w:pPr>
      <w:r>
        <w:rPr>
          <w:rFonts w:hint="eastAsia" w:ascii="宋体" w:hAnsi="宋体"/>
          <w:sz w:val="21"/>
          <w:szCs w:val="21"/>
        </w:rPr>
      </w:r>
      <w:r/>
    </w:p>
    <w:p>
      <w:pPr>
        <w:ind w:left="0"/>
        <w:jc w:val="center"/>
        <w:spacing w:line="360" w:lineRule="auto"/>
        <w:rPr>
          <w:rFonts w:hint="eastAsia" w:ascii="宋体" w:hAnsi="宋体"/>
          <w:b/>
          <w:sz w:val="21"/>
          <w:szCs w:val="21"/>
        </w:rPr>
      </w:pPr>
      <w:r>
        <w:rPr>
          <w:rFonts w:hint="eastAsia" w:ascii="宋体" w:hAnsi="宋体"/>
          <w:b/>
          <w:sz w:val="21"/>
          <w:szCs w:val="21"/>
        </w:rPr>
        <w:t xml:space="preserve">开标一览表（总报价）</w:t>
      </w:r>
      <w:r/>
    </w:p>
    <w:p>
      <w:pPr>
        <w:pStyle w:val="1065"/>
        <w:ind w:left="0" w:firstLine="0"/>
      </w:pPr>
      <w:r/>
      <w:r/>
    </w:p>
    <w:p>
      <w:pPr>
        <w:pStyle w:val="1065"/>
        <w:ind w:left="0" w:firstLine="0"/>
      </w:pPr>
      <w:r/>
      <w:r/>
    </w:p>
    <w:p>
      <w:pPr>
        <w:spacing w:line="360" w:lineRule="auto"/>
        <w:rPr>
          <w:rFonts w:hint="eastAsia" w:ascii="宋体" w:hAnsi="宋体" w:cs="宋体"/>
          <w:sz w:val="21"/>
          <w:szCs w:val="21"/>
        </w:rPr>
      </w:pPr>
      <w:r>
        <w:rPr>
          <w:rFonts w:hint="eastAsia" w:ascii="宋体" w:hAnsi="宋体" w:cs="宋体"/>
          <w:sz w:val="21"/>
          <w:szCs w:val="21"/>
        </w:rPr>
        <w:t xml:space="preserve">项目名称：          </w:t>
      </w:r>
      <w:r/>
    </w:p>
    <w:p>
      <w:pPr>
        <w:spacing w:line="360" w:lineRule="auto"/>
        <w:rPr>
          <w:rFonts w:hint="eastAsia" w:ascii="宋体" w:hAnsi="宋体" w:cs="宋体"/>
          <w:sz w:val="21"/>
          <w:szCs w:val="21"/>
        </w:rPr>
      </w:pPr>
      <w:r>
        <w:rPr>
          <w:rFonts w:hint="eastAsia" w:ascii="宋体" w:hAnsi="宋体" w:cs="宋体"/>
          <w:sz w:val="21"/>
          <w:szCs w:val="21"/>
        </w:rPr>
        <w:t xml:space="preserve">采购编号：                                        报价单位：人民币</w:t>
      </w:r>
      <w:r>
        <w:rPr>
          <w:rFonts w:hint="eastAsia" w:ascii="宋体" w:hAnsi="宋体" w:cs="宋体"/>
          <w:b/>
          <w:sz w:val="21"/>
          <w:szCs w:val="21"/>
        </w:rPr>
        <w:t xml:space="preserve">万元</w:t>
      </w:r>
      <w:r/>
    </w:p>
    <w:tbl>
      <w:tblPr>
        <w:tblStyle w:val="1009"/>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1670"/>
        <w:gridCol w:w="2270"/>
        <w:gridCol w:w="127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rPr>
                <w:rFonts w:hint="eastAsia" w:ascii="宋体" w:hAnsi="宋体" w:cs="宋体"/>
                <w:sz w:val="21"/>
                <w:szCs w:val="21"/>
              </w:rPr>
            </w:pPr>
            <w:r>
              <w:rPr>
                <w:rFonts w:hint="eastAsia" w:ascii="宋体" w:hAnsi="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ind w:left="0" w:firstLine="210"/>
              <w:rPr>
                <w:rFonts w:hint="eastAsia" w:ascii="宋体" w:hAnsi="宋体" w:cs="宋体"/>
                <w:sz w:val="21"/>
                <w:szCs w:val="21"/>
              </w:rPr>
            </w:pPr>
            <w:r>
              <w:rPr>
                <w:rFonts w:hint="eastAsia" w:ascii="宋体" w:hAnsi="宋体" w:cs="宋体"/>
                <w:sz w:val="21"/>
                <w:szCs w:val="21"/>
              </w:rPr>
              <w:t xml:space="preserve">响应报价（万元）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Pr>
                <w:rFonts w:hint="eastAsia" w:ascii="宋体" w:hAnsi="宋体" w:cs="宋体"/>
                <w:sz w:val="21"/>
                <w:szCs w:val="21"/>
              </w:rPr>
            </w:pPr>
            <w:r>
              <w:rPr>
                <w:rFonts w:hint="eastAsia" w:ascii="宋体" w:hAnsi="宋体" w:cs="宋体"/>
                <w:sz w:val="21"/>
                <w:szCs w:val="21"/>
              </w:rPr>
              <w:t xml:space="preserve">服务期限</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ind w:left="0" w:firstLine="840"/>
              <w:rPr>
                <w:rFonts w:hint="eastAsia" w:ascii="宋体" w:hAnsi="宋体" w:cs="宋体"/>
                <w:sz w:val="21"/>
                <w:szCs w:val="21"/>
              </w:rPr>
            </w:pPr>
            <w:r>
              <w:rPr>
                <w:rFonts w:hint="eastAsia" w:ascii="宋体" w:hAnsi="宋体" w:cs="宋体"/>
                <w:sz w:val="21"/>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spacing w:line="32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320" w:lineRule="exact"/>
              <w:rPr>
                <w:rFonts w:hint="eastAsia" w:ascii="宋体" w:hAnsi="宋体" w:cs="宋体"/>
                <w:sz w:val="21"/>
                <w:szCs w:val="21"/>
              </w:rPr>
            </w:pPr>
            <w:r>
              <w:rPr>
                <w:rFonts w:hint="eastAsia" w:ascii="宋体" w:hAnsi="宋体" w:cs="宋体"/>
                <w:sz w:val="21"/>
                <w:szCs w:val="21"/>
              </w:rPr>
              <w:t xml:space="preserve"> </w:t>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9469" w:type="dxa"/>
            <w:vAlign w:val="center"/>
            <w:textDirection w:val="lrTb"/>
            <w:noWrap w:val="false"/>
          </w:tcPr>
          <w:p>
            <w:pPr>
              <w:spacing w:line="400" w:lineRule="exact"/>
              <w:rPr>
                <w:rFonts w:hint="eastAsia" w:ascii="宋体" w:hAnsi="宋体" w:cs="宋体"/>
                <w:sz w:val="21"/>
                <w:szCs w:val="21"/>
              </w:rPr>
            </w:pPr>
            <w:r>
              <w:rPr>
                <w:rFonts w:hint="eastAsia" w:ascii="宋体" w:hAnsi="宋体" w:cs="宋体"/>
                <w:sz w:val="21"/>
                <w:szCs w:val="21"/>
              </w:rPr>
              <w:t xml:space="preserve">响应总报价（人民币大写）：                    ￥：</w:t>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jc w:val="center"/>
              <w:spacing w:line="400" w:lineRule="exact"/>
              <w:rPr>
                <w:rFonts w:hint="eastAsia" w:ascii="宋体" w:hAnsi="宋体" w:cs="宋体"/>
                <w:sz w:val="21"/>
                <w:szCs w:val="21"/>
              </w:rPr>
            </w:pPr>
            <w:r>
              <w:rPr>
                <w:rFonts w:hint="eastAsia" w:ascii="宋体" w:hAnsi="宋体" w:cs="宋体"/>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spacing w:line="400" w:lineRule="exact"/>
              <w:rPr>
                <w:rFonts w:hint="eastAsia" w:ascii="宋体" w:hAnsi="宋体" w:cs="宋体"/>
                <w:sz w:val="21"/>
                <w:szCs w:val="21"/>
              </w:rPr>
            </w:pPr>
            <w:r>
              <w:rPr>
                <w:rFonts w:hint="eastAsia" w:ascii="宋体" w:hAnsi="宋体" w:cs="宋体"/>
                <w:sz w:val="21"/>
                <w:szCs w:val="21"/>
              </w:rPr>
            </w:r>
            <w:r/>
          </w:p>
        </w:tc>
      </w:tr>
    </w:tbl>
    <w:p>
      <w:pPr>
        <w:ind w:firstLine="210"/>
        <w:spacing w:line="360" w:lineRule="auto"/>
        <w:rPr>
          <w:rFonts w:hint="eastAsia" w:ascii="宋体" w:hAnsi="宋体" w:cs="宋体"/>
          <w:sz w:val="21"/>
          <w:szCs w:val="21"/>
          <w:lang w:val="zh-CN"/>
        </w:rPr>
      </w:pPr>
      <w:r>
        <w:rPr>
          <w:rFonts w:hint="eastAsia" w:ascii="宋体" w:hAnsi="宋体" w:cs="宋体"/>
          <w:sz w:val="21"/>
          <w:szCs w:val="21"/>
          <w:lang w:val="zh-CN"/>
        </w:rPr>
      </w:r>
      <w:r/>
    </w:p>
    <w:p>
      <w:pPr>
        <w:ind w:firstLine="210"/>
        <w:spacing w:line="360" w:lineRule="auto"/>
        <w:rPr>
          <w:rFonts w:hint="eastAsia" w:ascii="宋体" w:hAnsi="宋体" w:cs="宋体"/>
          <w:sz w:val="21"/>
          <w:szCs w:val="21"/>
        </w:rPr>
      </w:pPr>
      <w:r>
        <w:rPr>
          <w:rFonts w:hint="eastAsia" w:ascii="宋体" w:hAnsi="宋体" w:cs="宋体"/>
          <w:sz w:val="21"/>
          <w:szCs w:val="21"/>
          <w:lang w:val="zh-CN"/>
        </w:rPr>
        <w:t xml:space="preserve">乙方签章：</w:t>
      </w:r>
      <w:r/>
    </w:p>
    <w:p>
      <w:pPr>
        <w:ind w:firstLine="210"/>
        <w:spacing w:line="360" w:lineRule="auto"/>
        <w:rPr>
          <w:rFonts w:hint="eastAsia" w:ascii="宋体" w:hAnsi="宋体" w:cs="宋体"/>
          <w:sz w:val="21"/>
          <w:szCs w:val="21"/>
        </w:rPr>
      </w:pPr>
      <w:r>
        <w:rPr>
          <w:rFonts w:hint="eastAsia" w:ascii="宋体" w:hAnsi="宋体" w:cs="宋体"/>
          <w:sz w:val="21"/>
          <w:szCs w:val="21"/>
          <w:lang w:val="zh-CN"/>
        </w:rPr>
        <w:t xml:space="preserve">法定代表人或代理人：（签字或盖章）</w:t>
      </w:r>
      <w:r/>
    </w:p>
    <w:p>
      <w:pPr>
        <w:ind w:firstLine="210"/>
        <w:spacing w:line="360" w:lineRule="auto"/>
        <w:rPr>
          <w:rFonts w:hint="eastAsia" w:ascii="宋体" w:hAnsi="宋体" w:cs="宋体"/>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 </w:t>
      </w:r>
      <w:r/>
    </w:p>
    <w:p>
      <w:pPr>
        <w:ind w:right="300" w:firstLine="2310"/>
        <w:jc w:val="left"/>
        <w:spacing w:line="360" w:lineRule="auto"/>
        <w:rPr>
          <w:rFonts w:hint="eastAsia" w:ascii="宋体" w:hAnsi="宋体" w:cs="宋体"/>
          <w:sz w:val="21"/>
          <w:szCs w:val="21"/>
          <w:lang w:val="zh-CN"/>
        </w:rPr>
      </w:pPr>
      <w:r>
        <w:rPr>
          <w:rFonts w:hint="eastAsia" w:ascii="宋体" w:hAnsi="宋体" w:cs="宋体"/>
          <w:sz w:val="21"/>
          <w:szCs w:val="21"/>
          <w:lang w:val="zh-CN"/>
        </w:rPr>
      </w:r>
      <w:r/>
    </w:p>
    <w:p>
      <w:pPr>
        <w:ind w:left="0" w:right="-200"/>
        <w:jc w:val="right"/>
        <w:spacing w:line="360" w:lineRule="auto"/>
        <w:widowControl w:val="off"/>
        <w:rPr>
          <w:rFonts w:hint="eastAsia" w:ascii="宋体" w:hAnsi="宋体"/>
          <w:b/>
          <w:sz w:val="21"/>
          <w:szCs w:val="21"/>
        </w:rPr>
      </w:pPr>
      <w:r>
        <w:rPr>
          <w:rFonts w:hint="eastAsia"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hint="eastAsia" w:ascii="宋体" w:hAnsi="宋体"/>
          <w:b/>
          <w:sz w:val="21"/>
          <w:szCs w:val="21"/>
        </w:rPr>
      </w:pPr>
      <w:r>
        <w:rPr>
          <w:rFonts w:hint="eastAsia" w:ascii="宋体" w:hAnsi="宋体"/>
          <w:b/>
          <w:sz w:val="21"/>
          <w:szCs w:val="21"/>
        </w:rPr>
        <w:br w:type="page" w:clear="all"/>
      </w:r>
      <w:r/>
    </w:p>
    <w:p>
      <w:pPr>
        <w:pStyle w:val="999"/>
        <w:ind w:left="0" w:firstLine="0"/>
        <w:spacing w:before="0" w:after="0" w:line="360" w:lineRule="auto"/>
        <w:rPr>
          <w:rFonts w:hint="eastAsia" w:ascii="宋体" w:hAnsi="宋体"/>
          <w:sz w:val="21"/>
          <w:szCs w:val="21"/>
        </w:rPr>
      </w:pPr>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r/>
    </w:p>
    <w:p>
      <w:pPr>
        <w:ind w:left="0" w:firstLine="420"/>
        <w:jc w:val="center"/>
        <w:rPr>
          <w:rFonts w:hint="eastAsia" w:ascii="宋体" w:hAnsi="宋体"/>
          <w:b/>
          <w:sz w:val="21"/>
          <w:szCs w:val="21"/>
        </w:rPr>
      </w:pPr>
      <w:r>
        <w:rPr>
          <w:rFonts w:hint="eastAsia" w:ascii="宋体" w:hAnsi="宋体"/>
          <w:b/>
          <w:sz w:val="21"/>
          <w:szCs w:val="21"/>
        </w:rPr>
      </w:r>
      <w:r/>
    </w:p>
    <w:p>
      <w:pPr>
        <w:ind w:left="0" w:firstLine="42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苏州市诚源招投标代理有限公司</w:t>
      </w:r>
      <w:r>
        <w:rPr>
          <w:rFonts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Pr>
          <w:rFonts w:ascii="Times New Roman" w:hAnsi="Times New Roman"/>
          <w:b/>
          <w:sz w:val="21"/>
        </w:rPr>
        <w:outlineLvl w:val="0"/>
      </w:pPr>
      <w:r>
        <w:rPr>
          <w:rFonts w:ascii="Times New Roman" w:hAnsi="Times New Roman"/>
          <w:b/>
          <w:sz w:val="21"/>
        </w:rPr>
        <w:br w:type="page" w:clear="all"/>
      </w:r>
      <w:r>
        <w:rPr>
          <w:rFonts w:ascii="Times New Roman" w:hAnsi="Times New Roman"/>
          <w:b/>
          <w:sz w:val="21"/>
        </w:rPr>
        <w:t xml:space="preserve">附件</w:t>
      </w:r>
      <w:r>
        <w:rPr>
          <w:rFonts w:hint="eastAsia" w:ascii="Times New Roman" w:hAnsi="Times New Roman"/>
          <w:b/>
          <w:sz w:val="21"/>
        </w:rPr>
        <w:t xml:space="preserve">3.磋商响应单位</w:t>
      </w:r>
      <w:r>
        <w:rPr>
          <w:rFonts w:ascii="Times New Roman" w:hAnsi="Times New Roman"/>
          <w:b/>
          <w:sz w:val="21"/>
        </w:rPr>
        <w:t xml:space="preserve">基本情况表</w:t>
      </w:r>
      <w:r/>
    </w:p>
    <w:p>
      <w:pPr>
        <w:ind w:left="0"/>
        <w:jc w:val="left"/>
        <w:spacing w:line="360" w:lineRule="auto"/>
        <w:rPr>
          <w:rFonts w:ascii="Times New Roman" w:hAnsi="Times New Roman"/>
          <w:sz w:val="21"/>
        </w:rPr>
      </w:pPr>
      <w:r>
        <w:rPr>
          <w:rFonts w:ascii="Times New Roman" w:hAnsi="Times New Roman"/>
          <w:sz w:val="21"/>
        </w:rPr>
      </w:r>
      <w:r/>
    </w:p>
    <w:tbl>
      <w:tblPr>
        <w:tblStyle w:val="1009"/>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hint="eastAsia" w:ascii="Times New Roman" w:hAnsi="Times New Roman"/>
                <w:sz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rPr>
            </w:pPr>
            <w:r>
              <w:rPr>
                <w:rFonts w:hint="eastAsia" w:ascii="Times New Roman" w:hAnsi="Times New Roman"/>
                <w:sz w:val="21"/>
              </w:rPr>
              <w:t xml:space="preserve">年 </w:t>
            </w:r>
            <w:r>
              <w:rPr>
                <w:rFonts w:ascii="Times New Roman" w:hAnsi="Times New Roman"/>
                <w:sz w:val="21"/>
              </w:rPr>
              <w:t xml:space="preserve">  </w:t>
            </w:r>
            <w:r>
              <w:rPr>
                <w:rFonts w:hint="eastAsia" w:ascii="Times New Roman" w:hAnsi="Times New Roman"/>
                <w:sz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Times New Roman" w:hAnsi="Times New Roman"/>
                <w:sz w:val="21"/>
              </w:rPr>
            </w:pPr>
            <w:r>
              <w:rPr>
                <w:rFonts w:ascii="Times New Roman" w:hAnsi="Times New Roman"/>
                <w:sz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sz w:val="21"/>
              </w:rPr>
            </w:pPr>
            <w:r>
              <w:rPr>
                <w:rFonts w:ascii="Times New Roman" w:hAnsi="Times New Roman"/>
                <w:sz w:val="21"/>
              </w:rPr>
            </w:r>
            <w:r/>
          </w:p>
        </w:tc>
      </w:tr>
    </w:tbl>
    <w:p>
      <w:pPr>
        <w:ind w:left="0" w:firstLine="315"/>
        <w:jc w:val="left"/>
        <w:spacing w:line="360" w:lineRule="auto"/>
        <w:rPr>
          <w:rFonts w:ascii="Times New Roman" w:hAnsi="Times New Roman"/>
          <w:b/>
          <w:sz w:val="21"/>
        </w:rPr>
      </w:pPr>
      <w:r>
        <w:rPr>
          <w:rFonts w:hint="eastAsia" w:ascii="Times New Roman" w:hAnsi="Times New Roman"/>
          <w:sz w:val="21"/>
        </w:rPr>
        <w:t xml:space="preserve">注：</w:t>
      </w:r>
      <w:r>
        <w:rPr>
          <w:rFonts w:ascii="Times New Roman" w:hAnsi="Times New Roman"/>
          <w:sz w:val="21"/>
        </w:rPr>
        <w:t xml:space="preserve">若事项较多，供应商可根据实际情况另纸说明。</w:t>
      </w:r>
      <w:r/>
    </w:p>
    <w:p>
      <w:pPr>
        <w:ind w:left="0" w:firstLine="368"/>
        <w:jc w:val="left"/>
        <w:spacing w:line="360" w:lineRule="auto"/>
        <w:rPr>
          <w:rFonts w:ascii="Times New Roman" w:hAnsi="Times New Roman"/>
          <w:sz w:val="21"/>
        </w:rPr>
      </w:pPr>
      <w:r>
        <w:rPr>
          <w:rFonts w:ascii="Times New Roman" w:hAnsi="Times New Roman"/>
          <w:sz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rPr>
          <w:rFonts w:hint="eastAsia" w:ascii="宋体" w:hAnsi="宋体"/>
          <w:b/>
          <w:sz w:val="21"/>
          <w:szCs w:val="21"/>
        </w:rPr>
      </w:pPr>
      <w:r>
        <w:rPr>
          <w:rFonts w:hint="eastAsia" w:ascii="宋体" w:hAnsi="宋体"/>
          <w:b/>
          <w:sz w:val="21"/>
          <w:szCs w:val="21"/>
        </w:rPr>
        <w:br w:type="page" w:clear="all"/>
      </w:r>
      <w:r/>
    </w:p>
    <w:p>
      <w:pPr>
        <w:pStyle w:val="999"/>
        <w:ind w:left="0" w:firstLine="0"/>
        <w:spacing w:before="0" w:after="0" w:line="360" w:lineRule="auto"/>
        <w:rPr>
          <w:rFonts w:hint="eastAsia" w:ascii="宋体" w:hAnsi="宋体"/>
          <w:b/>
          <w:sz w:val="21"/>
          <w:szCs w:val="21"/>
        </w:rPr>
      </w:pPr>
      <w:r>
        <w:rPr>
          <w:rFonts w:hint="eastAsia" w:ascii="宋体" w:hAnsi="宋体"/>
          <w:b/>
          <w:sz w:val="21"/>
          <w:szCs w:val="21"/>
        </w:rPr>
        <w:t xml:space="preserve">附件</w:t>
      </w:r>
      <w:bookmarkEnd w:id="37"/>
      <w:r/>
      <w:bookmarkEnd w:id="38"/>
      <w:r>
        <w:rPr>
          <w:rFonts w:hint="eastAsia" w:ascii="宋体" w:hAnsi="宋体"/>
          <w:b/>
          <w:sz w:val="21"/>
          <w:szCs w:val="21"/>
        </w:rPr>
        <w:t xml:space="preserve">4.磋商响应函</w:t>
      </w:r>
      <w:r/>
    </w:p>
    <w:p>
      <w:pPr>
        <w:ind w:firstLine="3162"/>
        <w:jc w:val="left"/>
        <w:spacing w:line="440" w:lineRule="exact"/>
        <w:rPr>
          <w:rFonts w:hint="eastAsia"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hint="eastAsia" w:ascii="宋体" w:hAnsi="宋体"/>
          <w:b/>
          <w:sz w:val="21"/>
          <w:szCs w:val="21"/>
        </w:rPr>
      </w:pPr>
      <w:r>
        <w:rPr>
          <w:rFonts w:hint="eastAsia" w:ascii="宋体" w:hAnsi="宋体"/>
          <w:b/>
          <w:sz w:val="21"/>
          <w:szCs w:val="21"/>
        </w:rPr>
      </w:r>
      <w:r/>
    </w:p>
    <w:p>
      <w:pPr>
        <w:ind w:left="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苏州市诚源招投标代理有限公司</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6、我方承诺若在机器码核查中被查出存在与其他投标供应商机器码一致情形的，愿意承担由此产生的一切后果，包括但不限于不得参与后续本项目因故废标后重新开展的相关采购活动。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hint="eastAsia" w:ascii="宋体" w:hAnsi="宋体" w:cs="宋体"/>
          <w:sz w:val="21"/>
          <w:szCs w:val="21"/>
          <w:lang w:val="zh-CN"/>
        </w:rPr>
      </w:pPr>
      <w:r>
        <w:rPr>
          <w:rFonts w:hint="eastAsia" w:ascii="宋体" w:hAnsi="宋体" w:cs="宋体"/>
          <w:sz w:val="21"/>
          <w:szCs w:val="21"/>
        </w:rPr>
        <w:t xml:space="preserve">9</w:t>
      </w:r>
      <w:r>
        <w:rPr>
          <w:rFonts w:hint="eastAsia" w:ascii="宋体" w:hAnsi="宋体" w:cs="宋体"/>
          <w:sz w:val="21"/>
          <w:szCs w:val="21"/>
          <w:lang w:val="zh-CN"/>
        </w:rPr>
        <w:t xml:space="preserve">、与本磋商相应文件有关的通讯地址：</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hint="eastAsia"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hint="eastAsia" w:ascii="宋体" w:hAnsi="宋体" w:cs="宋体"/>
          <w:sz w:val="21"/>
          <w:szCs w:val="21"/>
          <w:lang w:val="zh-CN"/>
        </w:rPr>
      </w:pPr>
      <w:r>
        <w:rPr>
          <w:rFonts w:hint="eastAsia" w:ascii="宋体" w:hAnsi="宋体" w:cs="宋体"/>
          <w:sz w:val="21"/>
          <w:szCs w:val="21"/>
          <w:lang w:val="zh-CN"/>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hint="eastAsia" w:ascii="宋体" w:hAnsi="宋体"/>
          <w:b/>
          <w:sz w:val="21"/>
          <w:szCs w:val="21"/>
        </w:rPr>
      </w:pPr>
      <w:r>
        <w:rPr>
          <w:rFonts w:ascii="宋体" w:hAnsi="宋体"/>
          <w:b/>
          <w:sz w:val="21"/>
          <w:szCs w:val="21"/>
        </w:rPr>
        <w:br w:type="page" w:clear="all"/>
      </w:r>
      <w:r/>
    </w:p>
    <w:p>
      <w:pPr>
        <w:pStyle w:val="999"/>
        <w:ind w:left="0" w:firstLine="0"/>
        <w:spacing w:before="0" w:after="0" w:line="360" w:lineRule="auto"/>
        <w:rPr>
          <w:rFonts w:hint="eastAsia" w:ascii="宋体" w:hAnsi="宋体"/>
          <w:b/>
          <w:sz w:val="21"/>
          <w:szCs w:val="21"/>
        </w:rPr>
      </w:pPr>
      <w:r>
        <w:rPr>
          <w:rFonts w:ascii="宋体" w:hAnsi="宋体"/>
          <w:b/>
          <w:sz w:val="21"/>
          <w:szCs w:val="21"/>
        </w:rPr>
        <w:t xml:space="preserve">附件</w:t>
      </w:r>
      <w:r>
        <w:rPr>
          <w:rFonts w:hint="eastAsia" w:ascii="宋体" w:hAnsi="宋体"/>
          <w:b/>
          <w:sz w:val="21"/>
          <w:szCs w:val="21"/>
        </w:rPr>
        <w:t xml:space="preserve">5.磋商报价分析表</w:t>
      </w:r>
      <w:r/>
    </w:p>
    <w:p>
      <w:pPr>
        <w:ind w:left="0"/>
        <w:jc w:val="center"/>
        <w:widowControl w:val="off"/>
        <w:rPr>
          <w:rFonts w:hint="eastAsia" w:ascii="宋体" w:hAnsi="宋体"/>
          <w:b/>
          <w:sz w:val="21"/>
          <w:szCs w:val="21"/>
        </w:rPr>
      </w:pPr>
      <w:r>
        <w:rPr>
          <w:rFonts w:hint="eastAsia" w:ascii="宋体" w:hAnsi="宋体"/>
          <w:b/>
          <w:sz w:val="21"/>
          <w:szCs w:val="21"/>
        </w:rPr>
        <w:t xml:space="preserve">磋商报价分析表</w:t>
      </w:r>
      <w:r/>
    </w:p>
    <w:p>
      <w:pPr>
        <w:ind w:left="0"/>
        <w:jc w:val="center"/>
        <w:widowControl w:val="off"/>
        <w:rPr>
          <w:rFonts w:hint="eastAsia" w:ascii="宋体" w:hAnsi="宋体"/>
          <w:sz w:val="21"/>
          <w:szCs w:val="21"/>
          <w:u w:val="single"/>
        </w:rPr>
      </w:pPr>
      <w:r>
        <w:rPr>
          <w:rFonts w:hint="eastAsia" w:ascii="宋体" w:hAnsi="宋体"/>
          <w:sz w:val="21"/>
          <w:szCs w:val="21"/>
          <w:u w:val="single"/>
        </w:rPr>
      </w:r>
      <w:r/>
    </w:p>
    <w:tbl>
      <w:tblPr>
        <w:tblStyle w:val="1009"/>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最高限价（万元）</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报价（万元）</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质控巡查</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每季度对89个站点开展1次，全年共计开展4次</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55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right w:val="single" w:color="auto" w:sz="4" w:space="0"/>
            </w:tcBorders>
            <w:tcW w:w="1489" w:type="dxa"/>
            <w:vAlign w:val="center"/>
            <w:vMerge w:val="restart"/>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所有服务项目的报价不得超过最高限价</w:t>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质保巡查</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每年度对89个站点开展1次</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30.5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489" w:type="dxa"/>
            <w:vAlign w:val="center"/>
            <w:vMerge w:val="continue"/>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数据质量监督</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1年</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489" w:type="dxa"/>
            <w:vAlign w:val="center"/>
            <w:vMerge w:val="continue"/>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数据审核</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1年</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12.5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489" w:type="dxa"/>
            <w:vAlign w:val="center"/>
            <w:vMerge w:val="continue"/>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双随机巡查</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1年</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3.6</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left w:val="single" w:color="auto" w:sz="4" w:space="0"/>
              <w:right w:val="single" w:color="auto" w:sz="4" w:space="0"/>
            </w:tcBorders>
            <w:tcW w:w="1489" w:type="dxa"/>
            <w:vAlign w:val="center"/>
            <w:vMerge w:val="continue"/>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颗粒物对比巡查</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全年对不少于总数25%的站点（23个站点）开展1次</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10.5</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left w:val="single" w:color="auto" w:sz="4" w:space="0"/>
              <w:bottom w:val="single" w:color="auto" w:sz="4" w:space="0"/>
              <w:right w:val="single" w:color="auto" w:sz="4" w:space="0"/>
            </w:tcBorders>
            <w:tcW w:w="1489" w:type="dxa"/>
            <w:vAlign w:val="center"/>
            <w:vMerge w:val="continue"/>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r>
            <w:r/>
          </w:p>
        </w:tc>
      </w:tr>
    </w:tbl>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right"/>
        <w:widowControl w:val="off"/>
        <w:rPr>
          <w:rFonts w:hint="eastAsia" w:ascii="宋体" w:hAnsi="宋体" w:cs="宋体"/>
          <w:sz w:val="21"/>
          <w:szCs w:val="21"/>
        </w:rPr>
      </w:pPr>
      <w:r>
        <w:rPr>
          <w:rFonts w:hint="eastAsia" w:ascii="宋体" w:hAnsi="宋体" w:cs="宋体"/>
          <w:sz w:val="21"/>
          <w:szCs w:val="21"/>
        </w:rPr>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福利、意外险、节假日补贴以及国家规定的社会保险、管理费、人员培训费、通讯、服装、胸卡、各种税费、保险、劳保、利润、税金、政策性文件规定及合同包含的所有风险、责任等各项应有费用。</w:t>
      </w:r>
      <w:r/>
    </w:p>
    <w:p>
      <w:pPr>
        <w:ind w:left="0"/>
        <w:spacing w:line="360" w:lineRule="auto"/>
        <w:tabs>
          <w:tab w:val="left" w:pos="1320" w:leader="none"/>
        </w:tabs>
        <w:rPr>
          <w:rFonts w:hint="eastAsia"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hint="eastAsia" w:ascii="宋体" w:hAnsi="宋体"/>
          <w:b/>
          <w:sz w:val="21"/>
          <w:szCs w:val="21"/>
        </w:rPr>
      </w:pPr>
      <w:r>
        <w:rPr>
          <w:rFonts w:ascii="宋体" w:hAnsi="宋体"/>
          <w:b/>
          <w:sz w:val="21"/>
          <w:szCs w:val="21"/>
        </w:rPr>
        <w:br w:type="page" w:clear="all"/>
      </w:r>
      <w:r/>
    </w:p>
    <w:p>
      <w:pPr>
        <w:pStyle w:val="999"/>
        <w:ind w:left="0" w:firstLine="0"/>
        <w:spacing w:before="0" w:after="0" w:line="360" w:lineRule="auto"/>
        <w:rPr>
          <w:rFonts w:hint="eastAsia" w:ascii="宋体" w:hAnsi="宋体"/>
          <w:b/>
          <w:sz w:val="21"/>
          <w:szCs w:val="21"/>
        </w:rPr>
      </w:pPr>
      <w:r>
        <w:rPr>
          <w:rFonts w:ascii="宋体" w:hAnsi="宋体"/>
          <w:b/>
          <w:sz w:val="21"/>
          <w:szCs w:val="21"/>
        </w:rPr>
        <w:t xml:space="preserve">附件</w:t>
      </w:r>
      <w:r>
        <w:rPr>
          <w:rFonts w:hint="eastAsia" w:ascii="宋体" w:hAnsi="宋体"/>
          <w:b/>
          <w:sz w:val="21"/>
          <w:szCs w:val="21"/>
        </w:rPr>
        <w:t xml:space="preserve">6.</w:t>
      </w:r>
      <w:r>
        <w:rPr>
          <w:rFonts w:ascii="宋体" w:hAnsi="宋体"/>
          <w:b/>
          <w:sz w:val="21"/>
          <w:szCs w:val="21"/>
        </w:rPr>
        <w:t xml:space="preserve">法定代表人授权委托书</w:t>
      </w:r>
      <w:r/>
    </w:p>
    <w:p>
      <w:pPr>
        <w:ind w:left="0" w:firstLine="3584"/>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加苏州市诚源招投标代理有限公司</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hint="eastAsia" w:ascii="宋体" w:hAnsi="宋体"/>
          <w:sz w:val="21"/>
          <w:szCs w:val="21"/>
        </w:rPr>
      </w:pPr>
      <w:r>
        <w:rPr>
          <w:rFonts w:hint="eastAsia" w:ascii="宋体" w:hAnsi="宋体"/>
          <w:sz w:val="21"/>
          <w:szCs w:val="21"/>
        </w:rPr>
      </w:r>
      <w:r/>
    </w:p>
    <w:p>
      <w:pPr>
        <w:ind w:left="0" w:right="420" w:firstLine="315"/>
        <w:jc w:val="center"/>
        <w:spacing w:line="360" w:lineRule="auto"/>
        <w:rPr>
          <w:rFonts w:hint="eastAsia"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p>
    <w:p>
      <w:pPr>
        <w:ind w:left="0" w:right="420" w:firstLine="315"/>
        <w:jc w:val="center"/>
        <w:spacing w:line="360" w:lineRule="auto"/>
        <w:rPr>
          <w:rFonts w:hint="eastAsia"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pStyle w:val="1010"/>
        <w:ind w:firstLine="420"/>
        <w:rPr>
          <w:lang w:val="zh-CN"/>
        </w:rPr>
      </w:pPr>
      <w:r>
        <w:rPr>
          <w:lang w:val="zh-CN"/>
        </w:rPr>
      </w:r>
      <w:r/>
    </w:p>
    <w:p>
      <w:pPr>
        <w:ind w:left="0" w:right="90" w:firstLine="840"/>
        <w:jc w:val="right"/>
        <w:spacing w:line="400" w:lineRule="exact"/>
        <w:rPr>
          <w:rFonts w:hint="eastAsia"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hint="eastAsia" w:ascii="宋体" w:hAnsi="宋体" w:cs="宋体"/>
          <w:sz w:val="21"/>
          <w:szCs w:val="21"/>
          <w:lang w:val="zh-CN"/>
        </w:rPr>
      </w:pPr>
      <w:r>
        <w:rPr>
          <w:rFonts w:ascii="宋体" w:hAnsi="宋体"/>
          <w:b/>
          <w:sz w:val="21"/>
          <w:szCs w:val="21"/>
        </w:rPr>
        <w:br w:type="page" w:clear="all"/>
      </w:r>
      <w:bookmarkStart w:id="39" w:name="_Toc241"/>
      <w:r/>
      <w:bookmarkStart w:id="40" w:name="_Toc7945"/>
      <w:r/>
      <w:r/>
    </w:p>
    <w:p>
      <w:pPr>
        <w:ind w:left="0"/>
        <w:rPr>
          <w:rFonts w:hint="eastAsia" w:ascii="宋体" w:hAnsi="宋体"/>
          <w:sz w:val="21"/>
          <w:szCs w:val="21"/>
        </w:rPr>
        <w:outlineLvl w:val="0"/>
      </w:pPr>
      <w:r>
        <w:rPr>
          <w:rFonts w:ascii="Times New Roman" w:hAnsi="Times New Roman"/>
          <w:b/>
          <w:sz w:val="21"/>
        </w:rPr>
        <w:t xml:space="preserve">附件</w:t>
      </w:r>
      <w:r>
        <w:rPr>
          <w:rFonts w:hint="eastAsia" w:ascii="Times New Roman" w:hAnsi="Times New Roman"/>
          <w:b/>
          <w:sz w:val="21"/>
        </w:rPr>
        <w:t xml:space="preserve">7.</w:t>
      </w:r>
      <w:r>
        <w:rPr>
          <w:rFonts w:ascii="Times New Roman" w:hAnsi="Times New Roman"/>
          <w:b/>
          <w:sz w:val="21"/>
        </w:rPr>
        <w:t xml:space="preserve">偏离表</w:t>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tbl>
      <w:tblPr>
        <w:tblStyle w:val="100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hint="eastAsia"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pStyle w:val="1010"/>
        <w:ind w:firstLine="420"/>
        <w:rPr>
          <w:lang w:val="zh-CN"/>
        </w:rPr>
      </w:pPr>
      <w:r>
        <w:rPr>
          <w:lang w:val="zh-CN"/>
        </w:rPr>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hint="eastAsia"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400"/>
        <w:jc w:val="left"/>
        <w:spacing w:line="360" w:lineRule="auto"/>
        <w:rPr>
          <w:rFonts w:hint="eastAsia" w:ascii="宋体" w:hAnsi="宋体"/>
          <w:sz w:val="21"/>
        </w:rPr>
      </w:pPr>
      <w:r>
        <w:rPr>
          <w:rFonts w:hint="eastAsia" w:ascii="宋体" w:hAnsi="宋体"/>
          <w:sz w:val="21"/>
        </w:rPr>
        <w:t xml:space="preserve">2.</w:t>
      </w:r>
      <w:r>
        <w:rPr>
          <w:rFonts w:ascii="宋体" w:hAnsi="宋体"/>
          <w:sz w:val="21"/>
        </w:rPr>
        <w:t xml:space="preserve">若事项较多，供应商可根据实际情况另纸说明。</w:t>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rPr>
      </w:pPr>
      <w:r>
        <w:rPr>
          <w:rFonts w:ascii="Times New Roman" w:hAnsi="Times New Roman"/>
          <w:b/>
          <w:sz w:val="21"/>
        </w:rPr>
      </w:r>
      <w:r/>
    </w:p>
    <w:p>
      <w:pPr>
        <w:ind w:left="0"/>
        <w:rPr>
          <w:rFonts w:ascii="Times New Roman" w:hAnsi="Times New Roman"/>
          <w:b/>
          <w:sz w:val="21"/>
          <w:szCs w:val="22"/>
        </w:rPr>
        <w:outlineLvl w:val="0"/>
      </w:pPr>
      <w:r>
        <w:rPr>
          <w:rFonts w:ascii="Times New Roman" w:hAnsi="Times New Roman"/>
          <w:b/>
          <w:sz w:val="21"/>
        </w:rPr>
        <w:t xml:space="preserve">附件</w:t>
      </w:r>
      <w:r>
        <w:rPr>
          <w:rFonts w:hint="eastAsia" w:ascii="Times New Roman" w:hAnsi="Times New Roman"/>
          <w:b/>
          <w:sz w:val="21"/>
        </w:rPr>
        <w:t xml:space="preserve">8</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r/>
    </w:p>
    <w:p>
      <w:pPr>
        <w:ind w:left="0"/>
        <w:jc w:val="center"/>
        <w:widowControl w:val="off"/>
        <w:rPr>
          <w:rFonts w:hint="eastAsia" w:ascii="宋体" w:hAnsi="宋体"/>
          <w:b/>
          <w:bCs/>
          <w:sz w:val="21"/>
          <w:szCs w:val="21"/>
        </w:rPr>
      </w:pPr>
      <w:r>
        <w:rPr>
          <w:rFonts w:hint="eastAsia" w:ascii="宋体" w:hAnsi="宋体"/>
          <w:b/>
          <w:bCs/>
          <w:sz w:val="21"/>
          <w:szCs w:val="21"/>
        </w:rPr>
        <w:t xml:space="preserve">项目服务人员配置表</w:t>
      </w:r>
      <w:r/>
    </w:p>
    <w:p>
      <w:pPr>
        <w:pStyle w:val="1056"/>
        <w:ind w:left="400"/>
      </w:pPr>
      <w:r/>
      <w:r/>
    </w:p>
    <w:tbl>
      <w:tblPr>
        <w:tblStyle w:val="1009"/>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vAlign w:val="center"/>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c>
          <w:tcPr>
            <w:tcW w:w="992" w:type="dxa"/>
            <w:textDirection w:val="lrTb"/>
            <w:noWrap w:val="false"/>
          </w:tcPr>
          <w:p>
            <w:pPr>
              <w:ind w:left="0"/>
              <w:jc w:val="center"/>
              <w:spacing w:line="360" w:lineRule="auto"/>
              <w:widowControl w:val="off"/>
              <w:rPr>
                <w:rFonts w:hint="eastAsia" w:ascii="宋体" w:hAnsi="宋体" w:cs="宋体"/>
                <w:sz w:val="21"/>
                <w:szCs w:val="21"/>
              </w:rPr>
            </w:pPr>
            <w:r>
              <w:rPr>
                <w:rFonts w:hint="eastAsia"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sz w:val="21"/>
          <w:szCs w:val="21"/>
        </w:rPr>
        <w:t xml:space="preserve">注：1</w:t>
      </w:r>
      <w:r>
        <w:rPr>
          <w:rFonts w:ascii="宋体" w:hAnsi="宋体"/>
          <w:sz w:val="21"/>
          <w:szCs w:val="21"/>
        </w:rPr>
        <w:t xml:space="preserve">.</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20"/>
        <w:jc w:val="left"/>
        <w:spacing w:line="360" w:lineRule="auto"/>
        <w:widowControl w:val="off"/>
        <w:rPr>
          <w:rFonts w:hint="eastAsia" w:ascii="Times New Roman" w:hAnsi="宋体"/>
          <w:sz w:val="24"/>
          <w:szCs w:val="24"/>
        </w:rPr>
      </w:pPr>
      <w:r>
        <w:rPr>
          <w:rFonts w:hint="eastAsia" w:ascii="Times New Roman" w:hAnsi="Times New Roman"/>
          <w:sz w:val="21"/>
        </w:rPr>
        <w:t xml:space="preserve">2</w:t>
      </w:r>
      <w:r>
        <w:rPr>
          <w:rFonts w:ascii="Times New Roman" w:hAnsi="Times New Roman"/>
          <w:sz w:val="21"/>
        </w:rPr>
        <w:t xml:space="preserve">.</w:t>
      </w:r>
      <w:r>
        <w:rPr>
          <w:rFonts w:hint="eastAsia" w:ascii="Times New Roman" w:hAnsi="Times New Roman"/>
          <w:sz w:val="21"/>
        </w:rPr>
        <w:t xml:space="preserve">请将相关证明材料复印件加盖公章后附在本表后面。</w:t>
      </w:r>
      <w:r/>
    </w:p>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6"/>
        <w:ind w:left="400"/>
        <w:rPr>
          <w:lang w:val="zh-CN"/>
        </w:rPr>
      </w:pPr>
      <w:r>
        <w:rPr>
          <w:lang w:val="zh-CN"/>
        </w:rPr>
      </w:r>
      <w:r/>
    </w:p>
    <w:p>
      <w:pPr>
        <w:ind w:left="0"/>
        <w:jc w:val="left"/>
        <w:widowControl w:val="off"/>
        <w:rPr>
          <w:rFonts w:ascii="Times New Roman" w:hAnsi="Times New Roman"/>
          <w:b/>
          <w:sz w:val="21"/>
        </w:rPr>
      </w:pPr>
      <w:r>
        <w:rPr>
          <w:rFonts w:hint="eastAsia" w:ascii="宋体" w:hAnsi="宋体" w:cs="宋体"/>
          <w:sz w:val="21"/>
          <w:szCs w:val="21"/>
          <w:lang w:val="zh-CN"/>
        </w:rPr>
        <w:br w:type="page" w:clear="all"/>
      </w:r>
      <w:r>
        <w:rPr>
          <w:rFonts w:ascii="Times New Roman" w:hAnsi="Times New Roman"/>
          <w:b/>
          <w:sz w:val="21"/>
        </w:rPr>
        <w:t xml:space="preserve">附件9</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r/>
    </w:p>
    <w:p>
      <w:pPr>
        <w:ind w:left="0"/>
        <w:jc w:val="center"/>
        <w:spacing w:line="360" w:lineRule="auto"/>
        <w:widowControl w:val="off"/>
        <w:tabs>
          <w:tab w:val="left" w:pos="1320" w:leader="none"/>
        </w:tabs>
        <w:rPr>
          <w:rFonts w:hint="eastAsia" w:ascii="宋体" w:hAnsi="宋体"/>
          <w:b/>
          <w:sz w:val="21"/>
          <w:szCs w:val="21"/>
        </w:rPr>
      </w:pPr>
      <w:r>
        <w:rPr>
          <w:rFonts w:hint="eastAsia" w:ascii="宋体" w:hAnsi="宋体"/>
          <w:b/>
          <w:sz w:val="21"/>
          <w:szCs w:val="21"/>
        </w:rPr>
        <w:t xml:space="preserve">针对本项目的技术方案及制度</w:t>
      </w:r>
      <w:r/>
    </w:p>
    <w:tbl>
      <w:tblPr>
        <w:tblStyle w:val="1009"/>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sz w:val="21"/>
                <w:szCs w:val="21"/>
              </w:rPr>
            </w:pPr>
            <w:r>
              <w:rPr>
                <w:rFonts w:hint="eastAsia" w:ascii="宋体" w:hAnsi="宋体"/>
                <w:sz w:val="21"/>
                <w:szCs w:val="21"/>
              </w:rPr>
              <w:t xml:space="preserve">提示：</w:t>
            </w:r>
            <w:r/>
          </w:p>
          <w:p>
            <w:pPr>
              <w:ind w:left="0"/>
              <w:jc w:val="left"/>
              <w:widowControl w:val="off"/>
              <w:rPr>
                <w:rFonts w:hint="eastAsia"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hint="eastAsia"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b/>
                <w:sz w:val="21"/>
                <w:szCs w:val="21"/>
              </w:rPr>
            </w:pPr>
            <w:r>
              <w:rPr>
                <w:rFonts w:hint="eastAsia" w:ascii="宋体" w:hAnsi="宋体"/>
                <w:b/>
                <w:sz w:val="21"/>
                <w:szCs w:val="21"/>
              </w:rPr>
            </w:r>
            <w:r/>
          </w:p>
          <w:p>
            <w:pPr>
              <w:ind w:left="0"/>
              <w:jc w:val="left"/>
              <w:widowControl w:val="off"/>
              <w:rPr>
                <w:rFonts w:hint="eastAsia"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hint="eastAsia" w:ascii="宋体" w:hAnsi="宋体"/>
          <w:sz w:val="21"/>
        </w:rPr>
      </w:pPr>
      <w:r>
        <w:rPr>
          <w:rFonts w:hint="eastAsia" w:ascii="宋体" w:hAnsi="宋体"/>
          <w:sz w:val="21"/>
        </w:rPr>
        <w:t xml:space="preserve"> </w:t>
      </w:r>
      <w:r/>
    </w:p>
    <w:p>
      <w:pPr>
        <w:pStyle w:val="1056"/>
        <w:ind w:left="0" w:firstLine="0"/>
        <w:rPr>
          <w:rFonts w:hint="eastAsia" w:hAnsi="宋体"/>
          <w:szCs w:val="21"/>
        </w:rPr>
      </w:pPr>
      <w:r>
        <w:rPr>
          <w:rFonts w:hint="eastAsia" w:hAnsi="宋体"/>
          <w:szCs w:val="21"/>
        </w:rPr>
      </w:r>
      <w:r/>
    </w:p>
    <w:p>
      <w:pPr>
        <w:ind w:left="0"/>
        <w:rPr>
          <w:rFonts w:hint="eastAsia" w:ascii="宋体" w:hAnsi="宋体"/>
          <w:b/>
          <w:sz w:val="21"/>
          <w:szCs w:val="21"/>
        </w:rPr>
        <w:outlineLvl w:val="0"/>
      </w:pP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r/>
    </w:p>
    <w:p>
      <w:pPr>
        <w:ind w:left="0"/>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相关业绩一览表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Style w:val="1009"/>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bl>
    <w:p>
      <w:pPr>
        <w:ind w:left="0"/>
        <w:jc w:val="left"/>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left="0" w:right="-200"/>
        <w:jc w:val="center"/>
        <w:spacing w:line="360" w:lineRule="auto"/>
        <w:widowControl w:val="off"/>
        <w:rPr>
          <w:rFonts w:hint="eastAsia" w:ascii="宋体" w:hAnsi="宋体"/>
          <w:sz w:val="21"/>
          <w:szCs w:val="21"/>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pStyle w:val="1010"/>
        <w:ind w:firstLine="420"/>
        <w:rPr>
          <w:lang w:val="zh-CN"/>
        </w:rPr>
      </w:pPr>
      <w:r>
        <w:rPr>
          <w:lang w:val="zh-CN"/>
        </w:rPr>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5"/>
      </w:pPr>
      <w:r/>
      <w:r/>
    </w:p>
    <w:p>
      <w:pPr>
        <w:pStyle w:val="1065"/>
        <w:rPr>
          <w:lang w:val="zh-CN"/>
        </w:rPr>
      </w:pPr>
      <w:r>
        <w:rPr>
          <w:lang w:val="zh-CN"/>
        </w:rPr>
      </w:r>
      <w:r/>
    </w:p>
    <w:p>
      <w:pPr>
        <w:ind w:left="0"/>
      </w:pPr>
      <w:r/>
      <w:bookmarkEnd w:id="39"/>
      <w:r/>
      <w:bookmarkEnd w:id="40"/>
      <w:r/>
      <w:r/>
    </w:p>
    <w:p>
      <w:pPr>
        <w:ind w:left="0"/>
        <w:rPr>
          <w:rFonts w:hint="eastAsia" w:ascii="宋体" w:hAnsi="宋体"/>
          <w:b/>
          <w:sz w:val="21"/>
          <w:szCs w:val="21"/>
        </w:rPr>
      </w:pPr>
      <w:r>
        <w:rPr>
          <w:rFonts w:ascii="宋体" w:hAnsi="宋体"/>
          <w:b/>
          <w:sz w:val="21"/>
          <w:szCs w:val="21"/>
        </w:rPr>
        <w:br w:type="page" w:clear="all"/>
      </w:r>
      <w:bookmarkStart w:id="41" w:name="_Toc19621"/>
      <w:r/>
      <w:bookmarkStart w:id="42" w:name="_Toc21574"/>
      <w:r/>
      <w:r/>
    </w:p>
    <w:p>
      <w:pPr>
        <w:ind w:left="0"/>
        <w:rPr>
          <w:rFonts w:hint="eastAsia" w:ascii="宋体" w:hAnsi="宋体"/>
          <w:b/>
          <w:sz w:val="21"/>
          <w:szCs w:val="21"/>
        </w:rPr>
        <w:outlineLvl w:val="0"/>
      </w:pP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41"/>
      <w:r/>
      <w:bookmarkEnd w:id="42"/>
      <w:r/>
      <w:r/>
    </w:p>
    <w:p>
      <w:pPr>
        <w:ind w:left="0"/>
        <w:jc w:val="left"/>
        <w:spacing w:line="480" w:lineRule="exact"/>
        <w:rPr>
          <w:rFonts w:hint="eastAsia" w:ascii="宋体" w:hAnsi="宋体"/>
          <w:b/>
          <w:sz w:val="21"/>
          <w:szCs w:val="21"/>
        </w:rPr>
      </w:pPr>
      <w:r>
        <w:rPr>
          <w:rFonts w:hint="eastAsia" w:ascii="宋体" w:hAnsi="宋体"/>
          <w:b/>
          <w:sz w:val="21"/>
          <w:szCs w:val="21"/>
        </w:rPr>
      </w:r>
      <w:r/>
    </w:p>
    <w:p>
      <w:pPr>
        <w:ind w:left="0"/>
        <w:jc w:val="center"/>
        <w:spacing w:line="480" w:lineRule="exact"/>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hint="eastAsia" w:ascii="宋体" w:hAnsi="宋体"/>
          <w:sz w:val="21"/>
          <w:szCs w:val="21"/>
        </w:rPr>
      </w:pPr>
      <w:r>
        <w:rPr>
          <w:rFonts w:hint="eastAsia" w:ascii="宋体" w:hAnsi="宋体"/>
          <w:sz w:val="21"/>
          <w:szCs w:val="21"/>
          <w:u w:val="single"/>
        </w:rPr>
        <w:t xml:space="preserve">苏州市诚源招投标代理有限公司：</w:t>
      </w:r>
      <w:r/>
    </w:p>
    <w:p>
      <w:pPr>
        <w:ind w:left="0" w:firstLine="420"/>
        <w:spacing w:line="480" w:lineRule="exact"/>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w:t>
      </w:r>
      <w:r/>
    </w:p>
    <w:p>
      <w:pPr>
        <w:ind w:left="0" w:firstLine="420"/>
        <w:spacing w:line="480" w:lineRule="exact"/>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ind w:left="0" w:right="-200"/>
        <w:jc w:val="center"/>
        <w:spacing w:line="360" w:lineRule="auto"/>
        <w:widowControl w:val="off"/>
        <w:rPr>
          <w:rFonts w:hint="eastAsia"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pStyle w:val="1010"/>
        <w:ind w:firstLine="420"/>
        <w:rPr>
          <w:lang w:val="zh-CN"/>
        </w:rPr>
      </w:pPr>
      <w:r>
        <w:rPr>
          <w:lang w:val="zh-CN"/>
        </w:rPr>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hint="eastAsia"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sz w:val="21"/>
          <w:szCs w:val="21"/>
        </w:rPr>
      </w:pPr>
      <w:r>
        <w:rPr>
          <w:rFonts w:hint="eastAsia" w:ascii="宋体" w:hAnsi="宋体" w:cs="宋体"/>
          <w:b/>
          <w:bCs/>
          <w:sz w:val="21"/>
          <w:szCs w:val="21"/>
        </w:rPr>
      </w:r>
      <w:r/>
    </w:p>
    <w:p>
      <w:pPr>
        <w:pStyle w:val="1056"/>
        <w:ind w:left="400"/>
      </w:pPr>
      <w:r/>
      <w:r/>
    </w:p>
    <w:p>
      <w:pPr>
        <w:ind w:left="0"/>
        <w:rPr>
          <w:rFonts w:hint="eastAsia" w:ascii="宋体" w:hAnsi="宋体" w:cs="宋体"/>
          <w:b/>
          <w:bCs/>
          <w:sz w:val="21"/>
          <w:szCs w:val="21"/>
        </w:rPr>
        <w:outlineLvl w:val="0"/>
      </w:pPr>
      <w:r>
        <w:rPr>
          <w:rFonts w:hint="eastAsia" w:ascii="宋体" w:hAnsi="宋体" w:cs="宋体"/>
          <w:b/>
          <w:bCs/>
          <w:sz w:val="21"/>
          <w:szCs w:val="21"/>
        </w:rPr>
        <w:br w:type="page" w:clear="all"/>
      </w:r>
      <w:r>
        <w:rPr>
          <w:rFonts w:hint="eastAsia" w:ascii="宋体" w:hAnsi="宋体" w:cs="宋体"/>
          <w:b/>
          <w:bCs/>
          <w:sz w:val="21"/>
          <w:szCs w:val="21"/>
        </w:rPr>
        <w:t xml:space="preserve">附件1</w:t>
      </w:r>
      <w:r>
        <w:rPr>
          <w:rFonts w:ascii="宋体" w:hAnsi="宋体" w:cs="宋体"/>
          <w:b/>
          <w:bCs/>
          <w:sz w:val="21"/>
          <w:szCs w:val="21"/>
        </w:rPr>
        <w:t xml:space="preserve">2</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r/>
    </w:p>
    <w:p>
      <w:pPr>
        <w:ind w:left="0"/>
        <w:jc w:val="left"/>
        <w:spacing w:line="480" w:lineRule="exact"/>
        <w:rPr>
          <w:sz w:val="21"/>
        </w:rPr>
      </w:pPr>
      <w:r>
        <w:rPr>
          <w:sz w:val="21"/>
        </w:rPr>
      </w:r>
      <w:r/>
    </w:p>
    <w:p>
      <w:pPr>
        <w:ind w:left="0"/>
        <w:jc w:val="center"/>
        <w:spacing w:line="480" w:lineRule="exact"/>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43" w:name="_Toc15378"/>
      <w:r/>
      <w:bookmarkStart w:id="44" w:name="_Toc3869"/>
      <w:r/>
      <w:bookmarkStart w:id="45" w:name="_Toc32206"/>
      <w:r>
        <w:rPr>
          <w:rFonts w:hint="eastAsia" w:ascii="宋体" w:hAnsi="宋体"/>
          <w:sz w:val="21"/>
          <w:szCs w:val="21"/>
          <w:u w:val="single"/>
          <w:lang w:val="zh-CN"/>
        </w:rPr>
        <w:t xml:space="preserve">苏州市诚源招投标代理有限公司</w:t>
      </w:r>
      <w:r>
        <w:rPr>
          <w:rFonts w:hint="eastAsia" w:ascii="宋体" w:hAnsi="宋体"/>
          <w:sz w:val="21"/>
          <w:szCs w:val="21"/>
          <w:lang w:val="zh-CN"/>
        </w:rPr>
        <w:t xml:space="preserve">：</w:t>
      </w:r>
      <w:bookmarkEnd w:id="43"/>
      <w:r/>
      <w:bookmarkEnd w:id="44"/>
      <w:r/>
      <w:bookmarkEnd w:id="45"/>
      <w:r/>
      <w:r/>
    </w:p>
    <w:p>
      <w:pPr>
        <w:ind w:left="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5"/>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left="0" w:right="-200"/>
        <w:jc w:val="center"/>
        <w:spacing w:line="360" w:lineRule="auto"/>
        <w:widowControl w:val="off"/>
        <w:rPr>
          <w:rFonts w:hint="eastAsia"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pStyle w:val="1010"/>
        <w:ind w:firstLine="420"/>
        <w:rPr>
          <w:lang w:val="zh-CN"/>
        </w:rPr>
      </w:pPr>
      <w:r>
        <w:rPr>
          <w:lang w:val="zh-CN"/>
        </w:rPr>
      </w:r>
      <w:r/>
    </w:p>
    <w:p>
      <w:pPr>
        <w:ind w:left="0" w:firstLine="210"/>
        <w:jc w:val="right"/>
        <w:spacing w:line="360" w:lineRule="auto"/>
        <w:rPr>
          <w:rFonts w:hint="eastAsia"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65"/>
      </w:pPr>
      <w:r/>
      <w:r/>
    </w:p>
    <w:p>
      <w:pPr>
        <w:pStyle w:val="1056"/>
        <w:ind w:left="0" w:firstLine="0"/>
        <w:spacing w:after="0"/>
        <w:rPr>
          <w:rFonts w:hint="eastAsia" w:ascii="宋体" w:hAnsi="宋体"/>
          <w:b/>
          <w:sz w:val="20"/>
          <w:lang w:val="zh-CN"/>
        </w:rPr>
      </w:pPr>
      <w:r>
        <w:rPr>
          <w:rFonts w:hint="eastAsia" w:ascii="宋体" w:hAnsi="宋体"/>
          <w:b/>
          <w:sz w:val="20"/>
          <w:lang w:val="zh-CN"/>
        </w:rPr>
      </w:r>
      <w:r/>
    </w:p>
    <w:p>
      <w:pPr>
        <w:pStyle w:val="1056"/>
        <w:ind w:left="0" w:firstLine="0"/>
        <w:spacing w:after="0"/>
        <w:rPr>
          <w:rFonts w:hint="eastAsia" w:ascii="宋体" w:hAnsi="宋体"/>
          <w:b/>
          <w:sz w:val="20"/>
          <w:lang w:val="zh-CN"/>
        </w:rPr>
      </w:pPr>
      <w:r>
        <w:rPr>
          <w:rFonts w:hint="eastAsia" w:ascii="宋体" w:hAnsi="宋体"/>
          <w:b/>
          <w:sz w:val="20"/>
          <w:lang w:val="zh-CN"/>
        </w:rPr>
      </w:r>
      <w:r/>
    </w:p>
    <w:p>
      <w:pPr>
        <w:ind w:left="0"/>
        <w:spacing w:line="360" w:lineRule="auto"/>
        <w:rPr>
          <w:rFonts w:hint="eastAsia" w:ascii="宋体" w:hAnsi="宋体"/>
          <w:sz w:val="21"/>
          <w:szCs w:val="21"/>
          <w:lang w:val="zh-CN"/>
        </w:rPr>
      </w:pPr>
      <w:r>
        <w:rPr>
          <w:rFonts w:hint="eastAsia" w:ascii="宋体" w:hAnsi="宋体"/>
          <w:sz w:val="21"/>
          <w:szCs w:val="21"/>
          <w:lang w:val="zh-CN"/>
        </w:rPr>
        <w:t xml:space="preserve">备注：1.享受政府采购支持政策的残疾人福利性单位应当同时满足以下条件：</w:t>
      </w:r>
      <w:r/>
    </w:p>
    <w:p>
      <w:pPr>
        <w:ind w:left="0"/>
        <w:spacing w:line="360" w:lineRule="auto"/>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1 \* GB3 </w:instrText>
      </w:r>
      <w:r>
        <w:rPr>
          <w:rFonts w:hint="eastAsia" w:ascii="宋体" w:hAnsi="宋体"/>
          <w:sz w:val="21"/>
          <w:szCs w:val="21"/>
          <w:lang w:val="zh-CN"/>
        </w:rPr>
        <w:fldChar w:fldCharType="separate"/>
      </w:r>
      <w:r>
        <w:rPr>
          <w:rFonts w:hint="eastAsia" w:ascii="宋体" w:hAnsi="宋体"/>
          <w:sz w:val="21"/>
          <w:szCs w:val="21"/>
          <w:lang w:val="zh-CN"/>
        </w:rPr>
        <w:t xml:space="preserve">①</w:t>
      </w:r>
      <w:r>
        <w:rPr>
          <w:rFonts w:hint="eastAsia" w:ascii="宋体" w:hAnsi="宋体"/>
          <w:sz w:val="21"/>
          <w:szCs w:val="21"/>
          <w:lang w:val="zh-CN"/>
        </w:rPr>
        <w:fldChar w:fldCharType="end"/>
      </w:r>
      <w:r>
        <w:rPr>
          <w:rFonts w:hint="eastAsia" w:ascii="宋体" w:hAnsi="宋体"/>
          <w:sz w:val="21"/>
          <w:szCs w:val="21"/>
          <w:lang w:val="zh-CN"/>
        </w:rPr>
        <w:t xml:space="preserve">安置的残疾人占本单位在职职工人数的比例不低于25%（含25%），并且安置的残疾人人数不少于10人（含10人）；</w:t>
      </w:r>
      <w:r/>
    </w:p>
    <w:p>
      <w:pPr>
        <w:ind w:left="0"/>
        <w:spacing w:line="360" w:lineRule="auto"/>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2 \* GB3 </w:instrText>
      </w:r>
      <w:r>
        <w:rPr>
          <w:rFonts w:hint="eastAsia" w:ascii="宋体" w:hAnsi="宋体"/>
          <w:sz w:val="21"/>
          <w:szCs w:val="21"/>
          <w:lang w:val="zh-CN"/>
        </w:rPr>
        <w:fldChar w:fldCharType="separate"/>
      </w:r>
      <w:r>
        <w:rPr>
          <w:rFonts w:hint="eastAsia" w:ascii="宋体" w:hAnsi="宋体"/>
          <w:sz w:val="21"/>
          <w:szCs w:val="21"/>
          <w:lang w:val="zh-CN"/>
        </w:rPr>
        <w:t xml:space="preserve">②</w:t>
      </w:r>
      <w:r>
        <w:rPr>
          <w:rFonts w:hint="eastAsia" w:ascii="宋体" w:hAnsi="宋体"/>
          <w:sz w:val="21"/>
          <w:szCs w:val="21"/>
          <w:lang w:val="zh-CN"/>
        </w:rPr>
        <w:fldChar w:fldCharType="end"/>
      </w:r>
      <w:r>
        <w:rPr>
          <w:rFonts w:hint="eastAsia" w:ascii="宋体" w:hAnsi="宋体"/>
          <w:sz w:val="21"/>
          <w:szCs w:val="21"/>
          <w:lang w:val="zh-CN"/>
        </w:rPr>
        <w:t xml:space="preserve">依法与安置的每位残疾人签订了一年以上（含一年）的劳动合同或服务协议；</w:t>
      </w:r>
      <w:r/>
    </w:p>
    <w:p>
      <w:pPr>
        <w:ind w:left="0"/>
        <w:spacing w:line="360" w:lineRule="auto"/>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3 \* GB3 </w:instrText>
      </w:r>
      <w:r>
        <w:rPr>
          <w:rFonts w:hint="eastAsia" w:ascii="宋体" w:hAnsi="宋体"/>
          <w:sz w:val="21"/>
          <w:szCs w:val="21"/>
          <w:lang w:val="zh-CN"/>
        </w:rPr>
        <w:fldChar w:fldCharType="separate"/>
      </w:r>
      <w:r>
        <w:rPr>
          <w:rFonts w:hint="eastAsia" w:ascii="宋体" w:hAnsi="宋体"/>
          <w:sz w:val="21"/>
          <w:szCs w:val="21"/>
          <w:lang w:val="zh-CN"/>
        </w:rPr>
        <w:t xml:space="preserve">③</w:t>
      </w:r>
      <w:r>
        <w:rPr>
          <w:rFonts w:hint="eastAsia" w:ascii="宋体" w:hAnsi="宋体"/>
          <w:sz w:val="21"/>
          <w:szCs w:val="21"/>
          <w:lang w:val="zh-CN"/>
        </w:rPr>
        <w:fldChar w:fldCharType="end"/>
      </w:r>
      <w:r>
        <w:rPr>
          <w:rFonts w:hint="eastAsia" w:ascii="宋体" w:hAnsi="宋体"/>
          <w:sz w:val="21"/>
          <w:szCs w:val="21"/>
          <w:lang w:val="zh-CN"/>
        </w:rPr>
        <w:t xml:space="preserve">为安置的每位残疾人按月足额缴纳了基本养老保险、基本医疗保险、失业保险、工伤保险和生育保险等社会保险费；</w:t>
      </w:r>
      <w:r/>
    </w:p>
    <w:p>
      <w:pPr>
        <w:ind w:left="0"/>
        <w:spacing w:line="360" w:lineRule="auto"/>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4 \* GB3 </w:instrText>
      </w:r>
      <w:r>
        <w:rPr>
          <w:rFonts w:hint="eastAsia" w:ascii="宋体" w:hAnsi="宋体"/>
          <w:sz w:val="21"/>
          <w:szCs w:val="21"/>
          <w:lang w:val="zh-CN"/>
        </w:rPr>
        <w:fldChar w:fldCharType="separate"/>
      </w:r>
      <w:r>
        <w:rPr>
          <w:rFonts w:hint="eastAsia" w:ascii="宋体" w:hAnsi="宋体"/>
          <w:sz w:val="21"/>
          <w:szCs w:val="21"/>
          <w:lang w:val="zh-CN"/>
        </w:rPr>
        <w:t xml:space="preserve">④</w:t>
      </w:r>
      <w:r>
        <w:rPr>
          <w:rFonts w:hint="eastAsia" w:ascii="宋体" w:hAnsi="宋体"/>
          <w:sz w:val="21"/>
          <w:szCs w:val="21"/>
          <w:lang w:val="zh-CN"/>
        </w:rPr>
        <w:fldChar w:fldCharType="end"/>
      </w:r>
      <w:r>
        <w:rPr>
          <w:rFonts w:hint="eastAsia" w:ascii="宋体" w:hAnsi="宋体"/>
          <w:sz w:val="21"/>
          <w:szCs w:val="21"/>
          <w:lang w:val="zh-CN"/>
        </w:rPr>
        <w:t xml:space="preserve">通过银行等金融机构向安置的每位残疾人，按月支付了不低于单位所在区县适用的经省级人民政府批准的月最低工资标准的工资；</w:t>
      </w:r>
      <w:r/>
    </w:p>
    <w:p>
      <w:pPr>
        <w:ind w:left="0"/>
        <w:spacing w:line="360" w:lineRule="auto"/>
        <w:rPr>
          <w:rFonts w:hint="eastAsia" w:ascii="宋体" w:hAnsi="宋体"/>
          <w:sz w:val="21"/>
          <w:szCs w:val="21"/>
          <w:lang w:val="zh-CN"/>
        </w:rPr>
      </w:pPr>
      <w:r>
        <w:rPr>
          <w:rFonts w:hint="eastAsia" w:ascii="宋体" w:hAnsi="宋体"/>
          <w:sz w:val="21"/>
          <w:szCs w:val="21"/>
          <w:lang w:val="zh-CN"/>
        </w:rPr>
        <w:fldChar w:fldCharType="begin"/>
      </w:r>
      <w:r>
        <w:rPr>
          <w:rFonts w:hint="eastAsia" w:ascii="宋体" w:hAnsi="宋体"/>
          <w:sz w:val="21"/>
          <w:szCs w:val="21"/>
          <w:lang w:val="zh-CN"/>
        </w:rPr>
        <w:instrText xml:space="preserve"> = 5 \* GB3 </w:instrText>
      </w:r>
      <w:r>
        <w:rPr>
          <w:rFonts w:hint="eastAsia" w:ascii="宋体" w:hAnsi="宋体"/>
          <w:sz w:val="21"/>
          <w:szCs w:val="21"/>
          <w:lang w:val="zh-CN"/>
        </w:rPr>
        <w:fldChar w:fldCharType="separate"/>
      </w:r>
      <w:r>
        <w:rPr>
          <w:rFonts w:hint="eastAsia" w:ascii="宋体" w:hAnsi="宋体"/>
          <w:sz w:val="21"/>
          <w:szCs w:val="21"/>
          <w:lang w:val="zh-CN"/>
        </w:rPr>
        <w:t xml:space="preserve">⑤</w:t>
      </w:r>
      <w:r>
        <w:rPr>
          <w:rFonts w:hint="eastAsia" w:ascii="宋体" w:hAnsi="宋体"/>
          <w:sz w:val="21"/>
          <w:szCs w:val="21"/>
          <w:lang w:val="zh-CN"/>
        </w:rPr>
        <w:fldChar w:fldCharType="end"/>
      </w:r>
      <w:r>
        <w:rPr>
          <w:rFonts w:hint="eastAsia" w:ascii="宋体" w:hAnsi="宋体"/>
          <w:sz w:val="21"/>
          <w:szCs w:val="21"/>
          <w:lang w:val="zh-CN"/>
        </w:rPr>
        <w:t xml:space="preserve">提供本单位制造的货物、承担的工程或者服务（以下简称产品），或者提供其他残疾人福利性单位制造的货物（不包括使用非残疾人福利性单位注册商标的货物）。</w:t>
      </w:r>
      <w:r/>
    </w:p>
    <w:p>
      <w:pPr>
        <w:ind w:left="0"/>
        <w:spacing w:line="360" w:lineRule="auto"/>
        <w:rPr>
          <w:rFonts w:hint="eastAsia" w:ascii="宋体" w:hAnsi="宋体"/>
          <w:sz w:val="21"/>
          <w:szCs w:val="21"/>
          <w:lang w:val="zh-CN"/>
        </w:rPr>
      </w:pPr>
      <w:r>
        <w:rPr>
          <w:rFonts w:hint="eastAsia" w:ascii="宋体" w:hAnsi="宋体"/>
          <w:sz w:val="21"/>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spacing w:line="360" w:lineRule="auto"/>
        <w:rPr>
          <w:rFonts w:hint="eastAsia" w:ascii="宋体" w:hAnsi="宋体"/>
          <w:sz w:val="21"/>
          <w:szCs w:val="21"/>
          <w:lang w:val="zh-CN"/>
        </w:rPr>
      </w:pPr>
      <w:r>
        <w:rPr>
          <w:rFonts w:hint="eastAsia" w:ascii="宋体" w:hAnsi="宋体"/>
          <w:sz w:val="21"/>
          <w:szCs w:val="21"/>
          <w:lang w:val="zh-CN"/>
        </w:rPr>
        <w:t xml:space="preserve">2.成交单位为残疾人福利性单位的，《残疾人福利性单位声明函》将随成交结果同时公告。</w:t>
      </w:r>
      <w:r/>
    </w:p>
    <w:p>
      <w:pPr>
        <w:ind w:left="0"/>
        <w:spacing w:line="360" w:lineRule="auto"/>
        <w:rPr>
          <w:rFonts w:hint="eastAsia" w:ascii="宋体" w:hAnsi="宋体"/>
          <w:sz w:val="21"/>
          <w:szCs w:val="21"/>
          <w:lang w:val="zh-CN"/>
        </w:rPr>
      </w:pPr>
      <w:r>
        <w:rPr>
          <w:rFonts w:hint="eastAsia" w:ascii="宋体" w:hAnsi="宋体"/>
          <w:sz w:val="21"/>
          <w:szCs w:val="21"/>
          <w:lang w:val="zh-CN"/>
        </w:rPr>
        <w:t xml:space="preserve">3.供应商提供的《残疾人福利性单位声明函》与事实不符的，依照《政府采购法》第七十七条第一款的规定追究法律责任。</w:t>
      </w:r>
      <w:r/>
    </w:p>
    <w:p>
      <w:pPr>
        <w:ind w:left="0"/>
        <w:spacing w:line="360" w:lineRule="auto"/>
        <w:rPr>
          <w:rFonts w:hint="eastAsia" w:ascii="宋体" w:hAnsi="宋体"/>
          <w:sz w:val="21"/>
          <w:szCs w:val="21"/>
          <w:lang w:val="zh-CN"/>
        </w:rPr>
      </w:pPr>
      <w:r>
        <w:rPr>
          <w:rFonts w:hint="eastAsia" w:ascii="宋体" w:hAnsi="宋体"/>
          <w:sz w:val="21"/>
          <w:szCs w:val="21"/>
          <w:lang w:val="zh-CN"/>
        </w:rPr>
      </w:r>
      <w:r/>
    </w:p>
    <w:p>
      <w:pPr>
        <w:ind w:left="0"/>
        <w:jc w:val="left"/>
        <w:rPr>
          <w:rFonts w:hint="eastAsia" w:ascii="宋体" w:hAnsi="宋体"/>
          <w:sz w:val="21"/>
          <w:szCs w:val="21"/>
          <w:lang w:val="zh-CN"/>
        </w:rPr>
      </w:pPr>
      <w:r>
        <w:rPr>
          <w:rFonts w:hint="eastAsia" w:ascii="宋体" w:hAnsi="宋体"/>
          <w:sz w:val="21"/>
          <w:szCs w:val="21"/>
          <w:lang w:val="zh-CN"/>
        </w:rPr>
        <w:br w:type="page" w:clear="all"/>
      </w:r>
      <w:r/>
    </w:p>
    <w:p>
      <w:pPr>
        <w:ind w:left="0"/>
        <w:rPr>
          <w:rFonts w:hint="eastAsia" w:ascii="宋体" w:hAnsi="宋体" w:cs="宋体"/>
          <w:b/>
          <w:bCs/>
          <w:sz w:val="21"/>
          <w:szCs w:val="21"/>
        </w:rPr>
        <w:outlineLvl w:val="0"/>
      </w:pPr>
      <w:r>
        <w:rPr>
          <w:rFonts w:hint="eastAsia" w:ascii="宋体" w:hAnsi="宋体" w:cs="宋体"/>
          <w:b/>
          <w:bCs/>
          <w:sz w:val="21"/>
          <w:szCs w:val="21"/>
        </w:rPr>
        <w:t xml:space="preserve">附件13.</w:t>
      </w:r>
      <w:r>
        <w:rPr>
          <w:rFonts w:hint="eastAsia" w:ascii="Times New Roman" w:hAnsi="Times New Roman"/>
          <w:b/>
          <w:sz w:val="21"/>
        </w:rPr>
        <w:t xml:space="preserve">廉洁服务承诺书</w:t>
      </w:r>
      <w:r/>
    </w:p>
    <w:p>
      <w:pPr>
        <w:ind w:left="0"/>
        <w:spacing w:line="360" w:lineRule="auto"/>
        <w:rPr>
          <w:rFonts w:hint="eastAsia" w:ascii="宋体" w:hAnsi="宋体"/>
          <w:sz w:val="21"/>
          <w:szCs w:val="21"/>
        </w:rPr>
      </w:pPr>
      <w:r>
        <w:rPr>
          <w:rFonts w:hint="eastAsia" w:ascii="宋体" w:hAnsi="宋体"/>
          <w:sz w:val="21"/>
          <w:szCs w:val="21"/>
        </w:rPr>
      </w:r>
      <w:r/>
    </w:p>
    <w:p>
      <w:pPr>
        <w:ind w:left="0"/>
        <w:jc w:val="center"/>
        <w:spacing w:line="360" w:lineRule="auto"/>
        <w:rPr>
          <w:rFonts w:hint="eastAsia" w:ascii="宋体" w:hAnsi="宋体"/>
          <w:b/>
          <w:bCs/>
          <w:sz w:val="21"/>
          <w:szCs w:val="21"/>
        </w:rPr>
      </w:pPr>
      <w:r>
        <w:rPr>
          <w:rFonts w:hint="eastAsia" w:ascii="宋体" w:hAnsi="宋体"/>
          <w:b/>
          <w:bCs/>
          <w:sz w:val="21"/>
          <w:szCs w:val="21"/>
        </w:rPr>
        <w:t xml:space="preserve">廉洁服务承诺书</w:t>
      </w:r>
      <w:r/>
    </w:p>
    <w:p>
      <w:pPr>
        <w:ind w:left="0"/>
        <w:spacing w:line="360" w:lineRule="auto"/>
        <w:rPr>
          <w:rFonts w:hint="eastAsia" w:ascii="宋体" w:hAnsi="宋体"/>
          <w:sz w:val="21"/>
          <w:szCs w:val="21"/>
          <w:u w:val="single"/>
        </w:rPr>
      </w:pPr>
      <w:r>
        <w:rPr>
          <w:rFonts w:hint="eastAsia" w:ascii="宋体" w:hAnsi="宋体"/>
          <w:sz w:val="21"/>
          <w:szCs w:val="21"/>
          <w:u w:val="single"/>
        </w:rPr>
        <w:t xml:space="preserve">苏州市生态环境局：</w:t>
      </w:r>
      <w:r/>
    </w:p>
    <w:p>
      <w:pPr>
        <w:ind w:left="0" w:firstLine="420"/>
        <w:spacing w:line="360" w:lineRule="auto"/>
        <w:rPr>
          <w:rFonts w:hint="eastAsia" w:ascii="宋体" w:hAnsi="宋体"/>
          <w:sz w:val="21"/>
          <w:szCs w:val="21"/>
        </w:rPr>
      </w:pPr>
      <w:r>
        <w:rPr>
          <w:rFonts w:hint="eastAsia" w:ascii="宋体" w:hAnsi="宋体"/>
          <w:sz w:val="21"/>
          <w:szCs w:val="21"/>
        </w:rPr>
        <w:t xml:space="preserve">作为我市生态环境系统环境监测工作的服务方，在提供高品质、准确、可靠的生态环境监测服务的同时，我们自愿遵守以下承诺：</w:t>
      </w:r>
      <w:r/>
    </w:p>
    <w:p>
      <w:pPr>
        <w:ind w:left="0" w:firstLine="420"/>
        <w:spacing w:line="360" w:lineRule="auto"/>
        <w:rPr>
          <w:rFonts w:hint="eastAsia" w:ascii="宋体" w:hAnsi="宋体"/>
          <w:sz w:val="21"/>
          <w:szCs w:val="21"/>
        </w:rPr>
      </w:pPr>
      <w:r>
        <w:rPr>
          <w:rFonts w:hint="eastAsia" w:ascii="宋体" w:hAnsi="宋体"/>
          <w:sz w:val="21"/>
          <w:szCs w:val="21"/>
        </w:rPr>
        <w:t xml:space="preserve">一、本机构所提供的生态环境监测服务将始终遵守法律法规、行业标准和规范，维护公正、独立、客观的原则。</w:t>
      </w:r>
      <w:r/>
    </w:p>
    <w:p>
      <w:pPr>
        <w:ind w:left="0" w:firstLine="420"/>
        <w:spacing w:line="360" w:lineRule="auto"/>
        <w:rPr>
          <w:rFonts w:hint="eastAsia" w:ascii="宋体" w:hAnsi="宋体"/>
          <w:sz w:val="21"/>
          <w:szCs w:val="21"/>
        </w:rPr>
      </w:pPr>
      <w:r>
        <w:rPr>
          <w:rFonts w:hint="eastAsia" w:ascii="宋体" w:hAnsi="宋体"/>
          <w:sz w:val="21"/>
          <w:szCs w:val="21"/>
        </w:rPr>
        <w:t xml:space="preserve">二、本机构将确保在提供生态环境监测服务过程中，不存在任何形式的贿赂、滥用权力、利益冲突等违法行为，教育并监督本机构所有人员，保证遵守此承诺。</w:t>
      </w:r>
      <w:r/>
    </w:p>
    <w:p>
      <w:pPr>
        <w:ind w:left="0" w:firstLine="420"/>
        <w:spacing w:line="360" w:lineRule="auto"/>
        <w:rPr>
          <w:rFonts w:hint="eastAsia" w:ascii="宋体" w:hAnsi="宋体"/>
          <w:sz w:val="21"/>
          <w:szCs w:val="21"/>
        </w:rPr>
      </w:pPr>
      <w:r>
        <w:rPr>
          <w:rFonts w:hint="eastAsia" w:ascii="宋体" w:hAnsi="宋体"/>
          <w:sz w:val="21"/>
          <w:szCs w:val="21"/>
        </w:rPr>
        <w:t xml:space="preserve">三、本机构将始终保持独立、客观的判断，在服务过程中只依据客观事实和专业知识提供意见和建议，不受不正当利益的影响。</w:t>
      </w:r>
      <w:r/>
    </w:p>
    <w:p>
      <w:pPr>
        <w:ind w:left="0" w:firstLine="420"/>
        <w:spacing w:line="360" w:lineRule="auto"/>
        <w:rPr>
          <w:rFonts w:hint="eastAsia" w:ascii="宋体" w:hAnsi="宋体"/>
          <w:sz w:val="21"/>
          <w:szCs w:val="21"/>
        </w:rPr>
      </w:pPr>
      <w:r>
        <w:rPr>
          <w:rFonts w:hint="eastAsia" w:ascii="宋体" w:hAnsi="宋体"/>
          <w:sz w:val="21"/>
          <w:szCs w:val="21"/>
        </w:rPr>
        <w:t xml:space="preserve">四、本机构在提供生态环境监测服务过程中，将遵守贵局“回避要求”，主动避免出现与受检单位可能存在影响数据公正性的利益关系、隶属关系等情况。</w:t>
      </w:r>
      <w:r/>
    </w:p>
    <w:p>
      <w:pPr>
        <w:ind w:left="0" w:firstLine="420"/>
        <w:spacing w:line="360" w:lineRule="auto"/>
        <w:rPr>
          <w:rFonts w:hint="eastAsia" w:ascii="宋体" w:hAnsi="宋体"/>
          <w:sz w:val="21"/>
          <w:szCs w:val="21"/>
        </w:rPr>
      </w:pPr>
      <w:r>
        <w:rPr>
          <w:rFonts w:hint="eastAsia" w:ascii="宋体" w:hAnsi="宋体"/>
          <w:sz w:val="21"/>
          <w:szCs w:val="21"/>
        </w:rPr>
        <w:t xml:space="preserve">五、本机构将妥善保管受托监测数据和相关资料，未经授权的情况下，不泄露给任何第三方。</w:t>
      </w:r>
      <w:r/>
    </w:p>
    <w:p>
      <w:pPr>
        <w:ind w:left="0"/>
        <w:spacing w:line="360" w:lineRule="auto"/>
        <w:rPr>
          <w:rFonts w:hint="eastAsia" w:ascii="宋体" w:hAnsi="宋体"/>
          <w:sz w:val="21"/>
          <w:szCs w:val="21"/>
        </w:rPr>
      </w:pPr>
      <w:r>
        <w:rPr>
          <w:rFonts w:hint="eastAsia" w:ascii="宋体" w:hAnsi="宋体"/>
          <w:sz w:val="21"/>
          <w:szCs w:val="21"/>
        </w:rPr>
      </w:r>
      <w:r/>
    </w:p>
    <w:p>
      <w:pPr>
        <w:ind w:left="0" w:firstLine="6510"/>
        <w:spacing w:line="360" w:lineRule="auto"/>
        <w:rPr>
          <w:rFonts w:hint="eastAsia" w:ascii="宋体" w:hAnsi="宋体"/>
          <w:sz w:val="21"/>
          <w:szCs w:val="21"/>
        </w:rPr>
      </w:pPr>
      <w:r>
        <w:rPr>
          <w:rFonts w:hint="eastAsia" w:ascii="宋体" w:hAnsi="宋体"/>
          <w:sz w:val="21"/>
          <w:szCs w:val="21"/>
        </w:rPr>
        <w:t xml:space="preserve">承诺方：（盖章）</w:t>
      </w:r>
      <w:r/>
    </w:p>
    <w:p>
      <w:pPr>
        <w:ind w:firstLine="5460"/>
        <w:spacing w:line="360" w:lineRule="auto"/>
        <w:rPr>
          <w:rFonts w:hint="eastAsia" w:ascii="宋体" w:hAnsi="宋体"/>
          <w:sz w:val="21"/>
          <w:szCs w:val="21"/>
        </w:rPr>
      </w:pPr>
      <w:r>
        <w:rPr>
          <w:rFonts w:hint="eastAsia" w:ascii="宋体" w:hAnsi="宋体"/>
          <w:sz w:val="21"/>
          <w:szCs w:val="21"/>
        </w:rPr>
        <w:t xml:space="preserve">日期：    年   月   日</w:t>
      </w:r>
      <w:r/>
    </w:p>
    <w:p>
      <w:pPr>
        <w:ind w:left="0" w:right="-200"/>
        <w:jc w:val="center"/>
        <w:spacing w:line="360" w:lineRule="auto"/>
        <w:widowControl w:val="off"/>
        <w:rPr>
          <w:rFonts w:hint="eastAsia" w:ascii="宋体" w:hAnsi="宋体" w:cs="宋体"/>
          <w:sz w:val="21"/>
          <w:szCs w:val="21"/>
        </w:rPr>
      </w:pPr>
      <w:r>
        <w:rPr>
          <w:rFonts w:hint="eastAsia" w:ascii="宋体" w:hAnsi="宋体"/>
          <w:sz w:val="21"/>
          <w:szCs w:val="21"/>
        </w:rPr>
        <w:t xml:space="preserve">       </w:t>
      </w:r>
      <w:r/>
    </w:p>
    <w:p>
      <w:pPr>
        <w:ind w:left="0"/>
        <w:jc w:val="left"/>
        <w:rPr>
          <w:rFonts w:hint="eastAsia" w:ascii="宋体" w:hAnsi="宋体" w:cs="宋体"/>
          <w:sz w:val="21"/>
          <w:szCs w:val="21"/>
        </w:rPr>
      </w:pPr>
      <w:r>
        <w:rPr>
          <w:rFonts w:hint="eastAsia" w:ascii="宋体" w:hAnsi="宋体" w:cs="宋体"/>
          <w:sz w:val="21"/>
          <w:szCs w:val="21"/>
        </w:rPr>
        <w:br w:type="page" w:clear="all"/>
      </w:r>
      <w:r/>
    </w:p>
    <w:p>
      <w:pPr>
        <w:ind w:left="0"/>
        <w:jc w:val="center"/>
        <w:spacing w:line="360" w:lineRule="auto"/>
        <w:rPr>
          <w:b/>
          <w:sz w:val="44"/>
          <w:szCs w:val="44"/>
        </w:rPr>
      </w:pPr>
      <w:r>
        <w:rPr>
          <w:rFonts w:hint="eastAsia"/>
          <w:b/>
          <w:sz w:val="44"/>
          <w:szCs w:val="44"/>
        </w:rPr>
        <w:t xml:space="preserve">第四章</w:t>
      </w:r>
      <w:bookmarkEnd w:id="29"/>
      <w:r/>
      <w:bookmarkEnd w:id="30"/>
      <w:r/>
      <w:bookmarkEnd w:id="31"/>
      <w:r/>
      <w:bookmarkEnd w:id="32"/>
      <w:r/>
      <w:bookmarkStart w:id="46" w:name="招标书"/>
      <w:r/>
      <w:bookmarkEnd w:id="46"/>
      <w:r>
        <w:rPr>
          <w:b/>
          <w:sz w:val="44"/>
          <w:szCs w:val="44"/>
        </w:rPr>
        <w:t xml:space="preserve"> </w:t>
      </w:r>
      <w:r>
        <w:rPr>
          <w:rFonts w:hint="eastAsia"/>
          <w:b/>
          <w:sz w:val="44"/>
          <w:szCs w:val="44"/>
        </w:rPr>
        <w:t xml:space="preserve">采购内容</w:t>
      </w:r>
      <w:bookmarkEnd w:id="33"/>
      <w:r/>
      <w:bookmarkEnd w:id="34"/>
      <w:r/>
      <w:bookmarkEnd w:id="35"/>
      <w:r/>
      <w:r/>
    </w:p>
    <w:p>
      <w:pPr>
        <w:ind w:left="0" w:firstLine="420"/>
        <w:spacing w:line="360" w:lineRule="auto"/>
        <w:rPr>
          <w:rFonts w:hint="eastAsia" w:ascii="宋体" w:hAnsi="宋体" w:cs="宋体"/>
          <w:sz w:val="21"/>
          <w:szCs w:val="21"/>
        </w:rPr>
      </w:pPr>
      <w:r/>
      <w:bookmarkStart w:id="47" w:name="_Toc12719"/>
      <w:r/>
      <w:bookmarkStart w:id="48" w:name="_Toc68611038"/>
      <w:r/>
      <w:bookmarkStart w:id="49" w:name="_Toc58248883"/>
      <w:r/>
      <w:bookmarkStart w:id="50" w:name="_Toc57376409"/>
      <w:r/>
      <w:bookmarkStart w:id="51" w:name="_Toc11789"/>
      <w:r/>
      <w:bookmarkStart w:id="52" w:name="_Toc73000677"/>
      <w:r/>
      <w:bookmarkStart w:id="53" w:name="_Toc5111"/>
      <w:r/>
      <w:bookmarkStart w:id="54" w:name="_Hlk55741158"/>
      <w:r>
        <w:rPr>
          <w:rFonts w:hint="eastAsia" w:ascii="宋体" w:hAnsi="宋体" w:cs="宋体"/>
          <w:sz w:val="21"/>
          <w:szCs w:val="21"/>
        </w:rPr>
        <w:t xml:space="preserve">苏州市诚源招投标代理有限公司受</w:t>
      </w:r>
      <w:r>
        <w:rPr>
          <w:rFonts w:hint="eastAsia" w:ascii="宋体" w:hAnsi="宋体" w:cs="宋体"/>
          <w:sz w:val="21"/>
          <w:szCs w:val="21"/>
          <w:u w:val="single"/>
        </w:rPr>
        <w:t xml:space="preserve">苏州市生态环境局</w:t>
      </w:r>
      <w:r>
        <w:rPr>
          <w:rFonts w:hint="eastAsia" w:ascii="宋体" w:hAnsi="宋体" w:cs="宋体"/>
          <w:sz w:val="21"/>
          <w:szCs w:val="21"/>
        </w:rPr>
        <w:t xml:space="preserve">的委托，就</w:t>
      </w:r>
      <w:r>
        <w:rPr>
          <w:rFonts w:hint="eastAsia" w:ascii="宋体" w:hAnsi="宋体"/>
          <w:sz w:val="21"/>
          <w:szCs w:val="21"/>
          <w:u w:val="single"/>
        </w:rPr>
        <w:t xml:space="preserve">2026年市控空气站六参数数据质控审核辅助服务</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hint="eastAsia" w:ascii="宋体" w:hAnsi="宋体"/>
          <w:sz w:val="21"/>
          <w:szCs w:val="21"/>
        </w:rPr>
      </w:pPr>
      <w:r>
        <w:rPr>
          <w:rFonts w:hint="eastAsia" w:ascii="宋体" w:hAnsi="宋体"/>
          <w:sz w:val="21"/>
          <w:szCs w:val="21"/>
        </w:rPr>
        <w:t xml:space="preserve">项目编号：</w:t>
      </w:r>
      <w:r>
        <w:rPr>
          <w:rFonts w:hint="eastAsia" w:ascii="宋体" w:hAnsi="宋体"/>
          <w:sz w:val="21"/>
          <w:szCs w:val="21"/>
          <w:lang w:eastAsia="zh-CN"/>
        </w:rPr>
        <w:t xml:space="preserve">JSZC-320500-SZSC-C2025-0023</w:t>
      </w:r>
      <w:r/>
    </w:p>
    <w:p>
      <w:pPr>
        <w:numPr>
          <w:ilvl w:val="0"/>
          <w:numId w:val="1"/>
        </w:numPr>
        <w:ind w:left="0" w:firstLine="420"/>
        <w:spacing w:line="360" w:lineRule="auto"/>
        <w:rPr>
          <w:rFonts w:hint="eastAsia" w:ascii="宋体" w:hAnsi="宋体"/>
          <w:sz w:val="21"/>
          <w:szCs w:val="21"/>
        </w:rPr>
      </w:pPr>
      <w:r>
        <w:rPr>
          <w:rFonts w:hint="eastAsia" w:ascii="宋体" w:hAnsi="宋体"/>
          <w:sz w:val="21"/>
          <w:szCs w:val="21"/>
        </w:rPr>
        <w:t xml:space="preserve">项目名称：2026年市控空气站六参数数据质控审核辅助服务</w:t>
      </w:r>
      <w:r/>
    </w:p>
    <w:p>
      <w:pPr>
        <w:pStyle w:val="1015"/>
        <w:numPr>
          <w:ilvl w:val="0"/>
          <w:numId w:val="1"/>
        </w:numPr>
        <w:ind w:left="0" w:firstLine="420"/>
        <w:spacing w:line="360" w:lineRule="auto"/>
        <w:rPr>
          <w:rFonts w:hint="eastAsia" w:ascii="宋体" w:hAnsi="宋体" w:cs="宋体"/>
          <w:sz w:val="21"/>
          <w:szCs w:val="21"/>
        </w:rPr>
      </w:pPr>
      <w:r>
        <w:rPr>
          <w:rFonts w:hint="eastAsia" w:ascii="宋体" w:hAnsi="宋体" w:cs="宋体"/>
          <w:bCs/>
          <w:sz w:val="21"/>
          <w:szCs w:val="21"/>
        </w:rPr>
        <w:t xml:space="preserve">预算金额：</w:t>
      </w:r>
      <w:r>
        <w:rPr>
          <w:rFonts w:hint="eastAsia" w:ascii="宋体" w:hAnsi="宋体" w:cs="宋体"/>
          <w:bCs/>
          <w:sz w:val="21"/>
          <w:szCs w:val="21"/>
          <w:lang w:val="en-US"/>
        </w:rPr>
        <w:t xml:space="preserve">人民币壹佰壹拾叁万陆仟元整（¥1136000.00）</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 xml:space="preserve">（一）</w:t>
      </w:r>
      <w:r>
        <w:rPr>
          <w:rFonts w:hint="eastAsia" w:asciiTheme="minorEastAsia" w:hAnsiTheme="minorEastAsia" w:eastAsiaTheme="minorEastAsia" w:cstheme="minorEastAsia"/>
          <w:b/>
          <w:sz w:val="21"/>
          <w:szCs w:val="21"/>
        </w:rPr>
        <w:t xml:space="preserve">项目概况</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为全面提升苏州市大气环境质量监测能力，及时</w:t>
      </w:r>
      <w:r>
        <w:rPr>
          <w:rFonts w:hint="eastAsia" w:asciiTheme="minorEastAsia" w:hAnsiTheme="minorEastAsia" w:eastAsiaTheme="minorEastAsia" w:cstheme="minorEastAsia"/>
          <w:bCs/>
          <w:sz w:val="21"/>
          <w:szCs w:val="21"/>
        </w:rPr>
        <w:t xml:space="preserve">、准确、全面地获取大气环境质量监测数据，客观反映大气环境质量状况和变化趋势，实现苏州市空气质量监测统一管理，需进一步采用信息化手段，进一步加强站点运维人员管理，保障监测数据的可追溯，从而达到监测数据的到达率和有效性，便于对运维工作的绩效的考核与管理。根据苏州市考核工作委员会《2021年度苏州高质量发展绩效评价考核实施方案》（苏考发〔2021〕1号）第60页，按照国家《环境空气质量标准》《环境空气质量指数（AQI）技术规定（试行）》《环境空气质量评价技术规范（试行）》评价各地空气质量类别，监测评价项目包括SO</w:t>
      </w:r>
      <w:r>
        <w:rPr>
          <w:rFonts w:hint="eastAsia" w:asciiTheme="minorEastAsia" w:hAnsiTheme="minorEastAsia" w:eastAsiaTheme="minorEastAsia" w:cstheme="minorEastAsia"/>
          <w:bCs/>
          <w:sz w:val="21"/>
          <w:szCs w:val="21"/>
          <w:vertAlign w:val="subscript"/>
        </w:rPr>
        <w:t xml:space="preserve">2</w:t>
      </w:r>
      <w:r>
        <w:rPr>
          <w:rFonts w:hint="eastAsia" w:asciiTheme="minorEastAsia" w:hAnsiTheme="minorEastAsia" w:eastAsiaTheme="minorEastAsia" w:cstheme="minorEastAsia"/>
          <w:bCs/>
          <w:sz w:val="21"/>
          <w:szCs w:val="21"/>
        </w:rPr>
        <w:t xml:space="preserve">、NO</w:t>
      </w:r>
      <w:r>
        <w:rPr>
          <w:rFonts w:hint="eastAsia" w:asciiTheme="minorEastAsia" w:hAnsiTheme="minorEastAsia" w:eastAsiaTheme="minorEastAsia" w:cstheme="minorEastAsia"/>
          <w:bCs/>
          <w:sz w:val="21"/>
          <w:szCs w:val="21"/>
          <w:vertAlign w:val="subscript"/>
        </w:rPr>
        <w:t xml:space="preserve">2</w:t>
      </w:r>
      <w:r>
        <w:rPr>
          <w:rFonts w:hint="eastAsia" w:asciiTheme="minorEastAsia" w:hAnsiTheme="minorEastAsia" w:eastAsiaTheme="minorEastAsia" w:cstheme="minorEastAsia"/>
          <w:bCs/>
          <w:sz w:val="21"/>
          <w:szCs w:val="21"/>
        </w:rPr>
        <w:t xml:space="preserve">、CO、O</w:t>
      </w:r>
      <w:r>
        <w:rPr>
          <w:rFonts w:hint="eastAsia" w:asciiTheme="minorEastAsia" w:hAnsiTheme="minorEastAsia" w:eastAsiaTheme="minorEastAsia" w:cstheme="minorEastAsia"/>
          <w:bCs/>
          <w:sz w:val="21"/>
          <w:szCs w:val="21"/>
          <w:vertAlign w:val="subscript"/>
        </w:rPr>
        <w:t xml:space="preserve">3</w:t>
      </w:r>
      <w:r>
        <w:rPr>
          <w:rFonts w:hint="eastAsia" w:asciiTheme="minorEastAsia" w:hAnsiTheme="minorEastAsia" w:eastAsiaTheme="minorEastAsia" w:cstheme="minorEastAsia"/>
          <w:bCs/>
          <w:sz w:val="21"/>
          <w:szCs w:val="21"/>
        </w:rPr>
        <w:t xml:space="preserve">、PM</w:t>
      </w:r>
      <w:r>
        <w:rPr>
          <w:rFonts w:hint="eastAsia" w:asciiTheme="minorEastAsia" w:hAnsiTheme="minorEastAsia" w:eastAsiaTheme="minorEastAsia" w:cstheme="minorEastAsia"/>
          <w:bCs/>
          <w:sz w:val="21"/>
          <w:szCs w:val="21"/>
          <w:vertAlign w:val="subscript"/>
        </w:rPr>
        <w:t xml:space="preserve">10</w:t>
      </w:r>
      <w:r>
        <w:rPr>
          <w:rFonts w:hint="eastAsia" w:asciiTheme="minorEastAsia" w:hAnsiTheme="minorEastAsia" w:eastAsiaTheme="minorEastAsia" w:cstheme="minorEastAsia"/>
          <w:bCs/>
          <w:sz w:val="21"/>
          <w:szCs w:val="21"/>
        </w:rPr>
        <w:t xml:space="preserve">、PM</w:t>
      </w:r>
      <w:r>
        <w:rPr>
          <w:rFonts w:hint="eastAsia" w:asciiTheme="minorEastAsia" w:hAnsiTheme="minorEastAsia" w:eastAsiaTheme="minorEastAsia" w:cstheme="minorEastAsia"/>
          <w:bCs/>
          <w:sz w:val="21"/>
          <w:szCs w:val="21"/>
          <w:vertAlign w:val="subscript"/>
        </w:rPr>
        <w:t xml:space="preserve">2.5</w:t>
      </w:r>
      <w:r>
        <w:rPr>
          <w:rFonts w:hint="eastAsia" w:asciiTheme="minorEastAsia" w:hAnsiTheme="minorEastAsia" w:eastAsiaTheme="minorEastAsia" w:cstheme="minorEastAsia"/>
          <w:bCs/>
          <w:sz w:val="21"/>
          <w:szCs w:val="21"/>
        </w:rPr>
        <w:t xml:space="preserve">六项。</w:t>
      </w:r>
      <w:r/>
    </w:p>
    <w:p>
      <w:pPr>
        <w:ind w:left="0" w:firstLine="420"/>
        <w:spacing w:line="360" w:lineRule="auto"/>
        <w:rPr>
          <w:rFonts w:hint="eastAsia" w:asciiTheme="minorEastAsia" w:hAnsiTheme="minorEastAsia" w:eastAsiaTheme="minorEastAsia" w:cstheme="minorEastAsia"/>
          <w:sz w:val="21"/>
          <w:szCs w:val="21"/>
        </w:rPr>
      </w:pPr>
      <w:r/>
      <w:bookmarkStart w:id="55" w:name="_Hlk187075140"/>
      <w:r>
        <w:rPr>
          <w:rFonts w:hint="eastAsia" w:asciiTheme="minorEastAsia" w:hAnsiTheme="minorEastAsia" w:eastAsiaTheme="minorEastAsia" w:cstheme="minorEastAsia"/>
          <w:bCs/>
          <w:sz w:val="21"/>
          <w:szCs w:val="21"/>
        </w:rPr>
        <w:t xml:space="preserve">此次质控主要包括</w:t>
      </w:r>
      <w:bookmarkStart w:id="56" w:name="_Hlk187075426"/>
      <w:r>
        <w:rPr>
          <w:rFonts w:hint="eastAsia" w:asciiTheme="minorEastAsia" w:hAnsiTheme="minorEastAsia" w:eastAsiaTheme="minorEastAsia" w:cstheme="minorEastAsia"/>
          <w:bCs/>
          <w:sz w:val="21"/>
          <w:szCs w:val="21"/>
        </w:rPr>
        <w:t xml:space="preserve">89个市控乡镇站点</w:t>
      </w:r>
      <w:r>
        <w:rPr>
          <w:rFonts w:hint="eastAsia" w:asciiTheme="minorEastAsia" w:hAnsiTheme="minorEastAsia" w:eastAsiaTheme="minorEastAsia" w:cstheme="minorEastAsia"/>
          <w:sz w:val="21"/>
          <w:szCs w:val="21"/>
        </w:rPr>
        <w:t xml:space="preserve">（张家港市9个、常熟市13个、太仓市6个、昆山市11个、吴江区8个、吴中区12个、相城区11个、姑苏区8个、工业园区4个、高新区7个）2026年</w:t>
      </w:r>
      <w:r>
        <w:rPr>
          <w:rFonts w:hint="eastAsia" w:asciiTheme="minorEastAsia" w:hAnsiTheme="minorEastAsia" w:eastAsiaTheme="minorEastAsia" w:cstheme="minorEastAsia"/>
          <w:bCs/>
          <w:sz w:val="21"/>
          <w:szCs w:val="21"/>
        </w:rPr>
        <w:t xml:space="preserve">SO</w:t>
      </w:r>
      <w:r>
        <w:rPr>
          <w:rFonts w:hint="eastAsia" w:asciiTheme="minorEastAsia" w:hAnsiTheme="minorEastAsia" w:eastAsiaTheme="minorEastAsia" w:cstheme="minorEastAsia"/>
          <w:bCs/>
          <w:sz w:val="21"/>
          <w:szCs w:val="21"/>
          <w:vertAlign w:val="subscript"/>
        </w:rPr>
        <w:t xml:space="preserve">2</w:t>
      </w:r>
      <w:r>
        <w:rPr>
          <w:rFonts w:hint="eastAsia" w:asciiTheme="minorEastAsia" w:hAnsiTheme="minorEastAsia" w:eastAsiaTheme="minorEastAsia" w:cstheme="minorEastAsia"/>
          <w:bCs/>
          <w:sz w:val="21"/>
          <w:szCs w:val="21"/>
        </w:rPr>
        <w:t xml:space="preserve">、NO</w:t>
      </w:r>
      <w:r>
        <w:rPr>
          <w:rFonts w:hint="eastAsia" w:asciiTheme="minorEastAsia" w:hAnsiTheme="minorEastAsia" w:eastAsiaTheme="minorEastAsia" w:cstheme="minorEastAsia"/>
          <w:bCs/>
          <w:sz w:val="21"/>
          <w:szCs w:val="21"/>
          <w:vertAlign w:val="subscript"/>
        </w:rPr>
        <w:t xml:space="preserve">2</w:t>
      </w:r>
      <w:r>
        <w:rPr>
          <w:rFonts w:hint="eastAsia" w:asciiTheme="minorEastAsia" w:hAnsiTheme="minorEastAsia" w:eastAsiaTheme="minorEastAsia" w:cstheme="minorEastAsia"/>
          <w:bCs/>
          <w:sz w:val="21"/>
          <w:szCs w:val="21"/>
        </w:rPr>
        <w:t xml:space="preserve">、CO、O</w:t>
      </w:r>
      <w:r>
        <w:rPr>
          <w:rFonts w:hint="eastAsia" w:asciiTheme="minorEastAsia" w:hAnsiTheme="minorEastAsia" w:eastAsiaTheme="minorEastAsia" w:cstheme="minorEastAsia"/>
          <w:bCs/>
          <w:sz w:val="21"/>
          <w:szCs w:val="21"/>
          <w:vertAlign w:val="subscript"/>
        </w:rPr>
        <w:t xml:space="preserve">3</w:t>
      </w:r>
      <w:r>
        <w:rPr>
          <w:rFonts w:hint="eastAsia" w:asciiTheme="minorEastAsia" w:hAnsiTheme="minorEastAsia" w:eastAsiaTheme="minorEastAsia" w:cstheme="minorEastAsia"/>
          <w:bCs/>
          <w:sz w:val="21"/>
          <w:szCs w:val="21"/>
        </w:rPr>
        <w:t xml:space="preserve">、PM</w:t>
      </w:r>
      <w:r>
        <w:rPr>
          <w:rFonts w:hint="eastAsia" w:asciiTheme="minorEastAsia" w:hAnsiTheme="minorEastAsia" w:eastAsiaTheme="minorEastAsia" w:cstheme="minorEastAsia"/>
          <w:bCs/>
          <w:sz w:val="21"/>
          <w:szCs w:val="21"/>
          <w:vertAlign w:val="subscript"/>
        </w:rPr>
        <w:t xml:space="preserve">10</w:t>
      </w:r>
      <w:r>
        <w:rPr>
          <w:rFonts w:hint="eastAsia" w:asciiTheme="minorEastAsia" w:hAnsiTheme="minorEastAsia" w:eastAsiaTheme="minorEastAsia" w:cstheme="minorEastAsia"/>
          <w:bCs/>
          <w:sz w:val="21"/>
          <w:szCs w:val="21"/>
        </w:rPr>
        <w:t xml:space="preserve">、PM</w:t>
      </w:r>
      <w:r>
        <w:rPr>
          <w:rFonts w:hint="eastAsia" w:asciiTheme="minorEastAsia" w:hAnsiTheme="minorEastAsia" w:eastAsiaTheme="minorEastAsia" w:cstheme="minorEastAsia"/>
          <w:bCs/>
          <w:sz w:val="21"/>
          <w:szCs w:val="21"/>
          <w:vertAlign w:val="subscript"/>
        </w:rPr>
        <w:t xml:space="preserve">2.5</w:t>
      </w:r>
      <w:r>
        <w:rPr>
          <w:rFonts w:hint="eastAsia" w:asciiTheme="minorEastAsia" w:hAnsiTheme="minorEastAsia" w:eastAsiaTheme="minorEastAsia" w:cstheme="minorEastAsia"/>
          <w:sz w:val="21"/>
          <w:szCs w:val="21"/>
        </w:rPr>
        <w:t xml:space="preserve">的数据质控。</w:t>
      </w:r>
      <w:bookmarkEnd w:id="55"/>
      <w:r/>
      <w:bookmarkEnd w:id="56"/>
      <w:r>
        <w:rPr>
          <w:rFonts w:hint="eastAsia" w:asciiTheme="minorEastAsia" w:hAnsiTheme="minorEastAsia" w:eastAsiaTheme="minorEastAsia" w:cstheme="minorEastAsia"/>
          <w:sz w:val="21"/>
          <w:szCs w:val="21"/>
        </w:rPr>
        <w:t xml:space="preserve">本项目主要针对空气站点自动监测系统，点源分布广、数据量大、专业性强、技术要求高的特点，通过购买技术服务的形式，强化管理力量，强化对现场端设施的监督巡查，确保数据准确有效，对项目服务商的监督管理、监测平台的实时监控和数据分析，提高环境管理效率。</w:t>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（二）工作目标</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建立市控空气自动监测站运维的全过程监管服务体系，协助开展运维工作的巡查工作和运维过程全记录，保障空气质量监测站的运维工作，确保数据的可靠性，提升监测站人员对监测网的管理能力水平；建立一套运维工作的绩效评价服务体系，协助管理运维单位或人员的考核工作。</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 xml:space="preserve">（三）</w:t>
      </w:r>
      <w:r>
        <w:rPr>
          <w:rFonts w:hint="eastAsia" w:asciiTheme="minorEastAsia" w:hAnsiTheme="minorEastAsia" w:eastAsiaTheme="minorEastAsia" w:cstheme="minorEastAsia"/>
          <w:b/>
          <w:sz w:val="21"/>
          <w:szCs w:val="21"/>
        </w:rPr>
        <w:t xml:space="preserve">建设内容</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为实现以上的目标，需开展以下工作内容：</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日进行网络数据巡检，对平台数据脱机、异常数据的判别并记录，核对运营单位提交的数据异常、仪器故障等各类表格或工作联系单的及时性和真实性；发现数据异常按要求及时督促运营单位对现场运维的整改和落实；每月统计各站点的有效数据获取率，每月统计各站点缺失数据时段及原因；每日、每周、每月按时完成相关报表并交给甲方。每季度对89个空气站开展至少1次质量控制（QC）巡查；全年对89个空气站开展至少1次质量保证（QA）巡查；全年对不少于总站点数25%（共计23站次）进行颗粒物比对核查；处理完成计划外巡查任务。</w:t>
      </w:r>
      <w:r>
        <w:rPr>
          <w:rFonts w:hint="eastAsia" w:asciiTheme="minorEastAsia" w:hAnsiTheme="minorEastAsia" w:eastAsiaTheme="minorEastAsia" w:cstheme="minorEastAsia"/>
          <w:bCs/>
          <w:sz w:val="21"/>
          <w:szCs w:val="21"/>
        </w:rPr>
        <w:t xml:space="preserve">同时乙方至少选派1名专职工作人员在甲方指定地点进行数据校核协调支持工作。</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 xml:space="preserve">（四）</w:t>
      </w:r>
      <w:r>
        <w:rPr>
          <w:rFonts w:hint="eastAsia" w:asciiTheme="minorEastAsia" w:hAnsiTheme="minorEastAsia" w:eastAsiaTheme="minorEastAsia" w:cstheme="minorEastAsia"/>
          <w:b/>
          <w:sz w:val="21"/>
          <w:szCs w:val="21"/>
        </w:rPr>
        <w:t xml:space="preserve">质控服务要求</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1.专业性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网络数据信息平台的专业化数据质控，通过对各监测站点历史数据的分钟、时均、日均等数据进行批量专业化分析来初步判断异常数据、仪器故障、弄虚作假等情况，为有针对性地开展现场核查、核实问题提供后台技术支持，并对现场发现的一系列情况进行签字确认、拍照取证，并告知采购人。 </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通过质控人员或自动化设备现场的专业化分析，快速作出科学、客观、真实地判断现场仪器是否正常运行，监督运营单位日常运维工作是否合理到位，如当场发现问题，应要求运营单位立即整改落实，并做好记录，要求杜绝此类事情的再次发生。 </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1.3质控人员必须熟悉采用国标方法（β射线+动态温湿度补偿、紫外光度法）的监测仪器。</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1.4质控人员了解《环境空气颗粒物（PM</w:t>
      </w:r>
      <w:r>
        <w:rPr>
          <w:rFonts w:hint="eastAsia" w:asciiTheme="minorEastAsia" w:hAnsiTheme="minorEastAsia" w:eastAsiaTheme="minorEastAsia" w:cstheme="minorEastAsia"/>
          <w:sz w:val="21"/>
          <w:szCs w:val="21"/>
          <w:vertAlign w:val="subscript"/>
        </w:rPr>
        <w:t xml:space="preserve">10</w:t>
      </w:r>
      <w:r>
        <w:rPr>
          <w:rFonts w:hint="eastAsia" w:asciiTheme="minorEastAsia" w:hAnsiTheme="minorEastAsia" w:eastAsiaTheme="minorEastAsia" w:cstheme="minorEastAsia"/>
          <w:sz w:val="21"/>
          <w:szCs w:val="21"/>
        </w:rPr>
        <w:t xml:space="preserve">和PM</w:t>
      </w:r>
      <w:r>
        <w:rPr>
          <w:rFonts w:hint="eastAsia" w:asciiTheme="minorEastAsia" w:hAnsiTheme="minorEastAsia" w:eastAsiaTheme="minorEastAsia" w:cstheme="minorEastAsia"/>
          <w:sz w:val="21"/>
          <w:szCs w:val="21"/>
          <w:vertAlign w:val="subscript"/>
        </w:rPr>
        <w:t xml:space="preserve">2.5</w:t>
      </w:r>
      <w:r>
        <w:rPr>
          <w:rFonts w:hint="eastAsia" w:asciiTheme="minorEastAsia" w:hAnsiTheme="minorEastAsia" w:eastAsiaTheme="minorEastAsia" w:cstheme="minorEastAsia"/>
          <w:sz w:val="21"/>
          <w:szCs w:val="21"/>
        </w:rPr>
        <w:t xml:space="preserve">）连续自动监测系统技术要求及检测方法》（HJ653-2013），《环境空气颗粒物（PM</w:t>
      </w:r>
      <w:r>
        <w:rPr>
          <w:rFonts w:hint="eastAsia" w:asciiTheme="minorEastAsia" w:hAnsiTheme="minorEastAsia" w:eastAsiaTheme="minorEastAsia" w:cstheme="minorEastAsia"/>
          <w:sz w:val="21"/>
          <w:szCs w:val="21"/>
          <w:vertAlign w:val="subscript"/>
        </w:rPr>
        <w:t xml:space="preserve">10</w:t>
      </w:r>
      <w:r>
        <w:rPr>
          <w:rFonts w:hint="eastAsia" w:asciiTheme="minorEastAsia" w:hAnsiTheme="minorEastAsia" w:eastAsiaTheme="minorEastAsia" w:cstheme="minorEastAsia"/>
          <w:sz w:val="21"/>
          <w:szCs w:val="21"/>
        </w:rPr>
        <w:t xml:space="preserve">和PM</w:t>
      </w:r>
      <w:r>
        <w:rPr>
          <w:rFonts w:hint="eastAsia" w:asciiTheme="minorEastAsia" w:hAnsiTheme="minorEastAsia" w:eastAsiaTheme="minorEastAsia" w:cstheme="minorEastAsia"/>
          <w:sz w:val="21"/>
          <w:szCs w:val="21"/>
          <w:vertAlign w:val="subscript"/>
        </w:rPr>
        <w:t xml:space="preserve">2.5</w:t>
      </w:r>
      <w:r>
        <w:rPr>
          <w:rFonts w:hint="eastAsia" w:asciiTheme="minorEastAsia" w:hAnsiTheme="minorEastAsia" w:eastAsiaTheme="minorEastAsia" w:cstheme="minorEastAsia"/>
          <w:sz w:val="21"/>
          <w:szCs w:val="21"/>
        </w:rPr>
        <w:t xml:space="preserve">）连续自动监测系统安装和验收技术规范》（HJ655-2013）《环境空气气态污染物（SO</w:t>
      </w:r>
      <w:r>
        <w:rPr>
          <w:rFonts w:hint="eastAsia" w:asciiTheme="minorEastAsia" w:hAnsiTheme="minorEastAsia" w:eastAsiaTheme="minorEastAsia" w:cstheme="minorEastAsia"/>
          <w:sz w:val="21"/>
          <w:szCs w:val="21"/>
          <w:vertAlign w:val="subscript"/>
        </w:rPr>
        <w:t xml:space="preserve">2</w:t>
      </w:r>
      <w:r>
        <w:rPr>
          <w:rFonts w:hint="eastAsia" w:asciiTheme="minorEastAsia" w:hAnsiTheme="minorEastAsia" w:eastAsiaTheme="minorEastAsia" w:cstheme="minorEastAsia"/>
          <w:sz w:val="21"/>
          <w:szCs w:val="21"/>
        </w:rPr>
        <w:t xml:space="preserve">、NO</w:t>
      </w:r>
      <w:r>
        <w:rPr>
          <w:rFonts w:hint="eastAsia" w:asciiTheme="minorEastAsia" w:hAnsiTheme="minorEastAsia" w:eastAsiaTheme="minorEastAsia" w:cstheme="minorEastAsia"/>
          <w:sz w:val="21"/>
          <w:szCs w:val="21"/>
          <w:vertAlign w:val="subscript"/>
        </w:rPr>
        <w:t xml:space="preserve">2</w:t>
      </w:r>
      <w:r>
        <w:rPr>
          <w:rFonts w:hint="eastAsia" w:asciiTheme="minorEastAsia" w:hAnsiTheme="minorEastAsia" w:eastAsiaTheme="minorEastAsia" w:cstheme="minorEastAsia"/>
          <w:sz w:val="21"/>
          <w:szCs w:val="21"/>
        </w:rPr>
        <w:t xml:space="preserve">、O</w:t>
      </w:r>
      <w:r>
        <w:rPr>
          <w:rFonts w:hint="eastAsia" w:asciiTheme="minorEastAsia" w:hAnsiTheme="minorEastAsia" w:eastAsiaTheme="minorEastAsia" w:cstheme="minorEastAsia"/>
          <w:sz w:val="21"/>
          <w:szCs w:val="21"/>
          <w:vertAlign w:val="subscript"/>
        </w:rPr>
        <w:t xml:space="preserve">3</w:t>
      </w:r>
      <w:r>
        <w:rPr>
          <w:rFonts w:hint="eastAsia" w:asciiTheme="minorEastAsia" w:hAnsiTheme="minorEastAsia" w:eastAsiaTheme="minorEastAsia" w:cstheme="minorEastAsia"/>
          <w:sz w:val="21"/>
          <w:szCs w:val="21"/>
        </w:rPr>
        <w:t xml:space="preserve">、CO）连续自动监测系统技术要求及检测方法》（HJ654-2013），《环境空气气态污染物（SO</w:t>
      </w:r>
      <w:r>
        <w:rPr>
          <w:rFonts w:hint="eastAsia" w:asciiTheme="minorEastAsia" w:hAnsiTheme="minorEastAsia" w:eastAsiaTheme="minorEastAsia" w:cstheme="minorEastAsia"/>
          <w:sz w:val="21"/>
          <w:szCs w:val="21"/>
          <w:vertAlign w:val="subscript"/>
        </w:rPr>
        <w:t xml:space="preserve">2</w:t>
      </w:r>
      <w:r>
        <w:rPr>
          <w:rFonts w:hint="eastAsia" w:asciiTheme="minorEastAsia" w:hAnsiTheme="minorEastAsia" w:eastAsiaTheme="minorEastAsia" w:cstheme="minorEastAsia"/>
          <w:sz w:val="21"/>
          <w:szCs w:val="21"/>
        </w:rPr>
        <w:t xml:space="preserve">、NO</w:t>
      </w:r>
      <w:r>
        <w:rPr>
          <w:rFonts w:hint="eastAsia" w:asciiTheme="minorEastAsia" w:hAnsiTheme="minorEastAsia" w:eastAsiaTheme="minorEastAsia" w:cstheme="minorEastAsia"/>
          <w:sz w:val="21"/>
          <w:szCs w:val="21"/>
          <w:vertAlign w:val="subscript"/>
        </w:rPr>
        <w:t xml:space="preserve">2</w:t>
      </w:r>
      <w:r>
        <w:rPr>
          <w:rFonts w:hint="eastAsia" w:asciiTheme="minorEastAsia" w:hAnsiTheme="minorEastAsia" w:eastAsiaTheme="minorEastAsia" w:cstheme="minorEastAsia"/>
          <w:sz w:val="21"/>
          <w:szCs w:val="21"/>
        </w:rPr>
        <w:t xml:space="preserve">、O</w:t>
      </w:r>
      <w:r>
        <w:rPr>
          <w:rFonts w:hint="eastAsia" w:asciiTheme="minorEastAsia" w:hAnsiTheme="minorEastAsia" w:eastAsiaTheme="minorEastAsia" w:cstheme="minorEastAsia"/>
          <w:sz w:val="21"/>
          <w:szCs w:val="21"/>
          <w:vertAlign w:val="subscript"/>
        </w:rPr>
        <w:t xml:space="preserve">3</w:t>
      </w:r>
      <w:r>
        <w:rPr>
          <w:rFonts w:hint="eastAsia" w:asciiTheme="minorEastAsia" w:hAnsiTheme="minorEastAsia" w:eastAsiaTheme="minorEastAsia" w:cstheme="minorEastAsia"/>
          <w:sz w:val="21"/>
          <w:szCs w:val="21"/>
        </w:rPr>
        <w:t xml:space="preserve">、CO）连续自动监测系统安装和验收技术规范》（HJ193-2013）相关要求。</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1.5通过质控人员专业的技术服务，为采购人提供可靠、客观的各项质控工作报告，为数据购买项目的顺利实施保驾护航。</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2.有效性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2.1通过质控人员对现场监测仪器和数据采集仪存储的历史数据来判定数据的完整性。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2.2通过质控人员对现场监测仪器、数据采集仪、平台数据的比较，来判断数据传输的一致性。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2.3通过专业的手段，对现场仪器分别进行质控样、实样比对分析，来评估仪器数据的准确性。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2.4通过质控人员对现场运维工作整体的巡查和评估，来判定现场运维工作的质量状况，以确保数据的客观性、真实性和有效性。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2.5通过质控人员各项工作的汇总，为采购人获得真实有效的数据提供保障。</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3.持续性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3.1针对仪器性能巡查不合格的情况，质控人员将及时告知运营单位，并针对现场实际情况提出意见和建议，督促运营单位整改落实，及时复查，直至仪器数据的准确性达到要求为止。</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3.2针对现场运维工作有不规范或遗漏等问题，质控人员将有针对性地提出整改建议，督促运营单位整改落实，并重点核查此类问题的再次发生，确保监测数据的连续性、科学性、客观性、真实性和有效性。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3.3通过质控人员对所有数据进行持续性、区域性的整合汇总，可持续地为采购人提供准确可靠的环境空气质量报告。</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3.4根据甲方要求，对运营单位运维能力、运维质量制定考核评分方案并进行评价，建立运维考核管理档案，每月按照方案对运维单位打分，并把当月的巡查情况提交甲方。</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（五）质控服务工作技术要求</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1.服务机构要求</w:t>
      </w:r>
      <w:r/>
    </w:p>
    <w:p>
      <w:pPr>
        <w:ind w:left="0" w:firstLine="42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 xml:space="preserve">为了保障质控的及时性和准确性，响应单位成交后须在苏州设立固定服务机构，现场检质控单位及人员应执行空气站相关的规章制度，并接受苏州市生态环境局的管理。</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2.人员要求（成交后立即配备到位）</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质控</w:t>
      </w:r>
      <w:r>
        <w:rPr>
          <w:rFonts w:hint="eastAsia" w:asciiTheme="minorEastAsia" w:hAnsiTheme="minorEastAsia" w:eastAsiaTheme="minorEastAsia" w:cstheme="minorEastAsia"/>
          <w:bCs/>
          <w:sz w:val="21"/>
          <w:szCs w:val="21"/>
        </w:rPr>
        <w:t xml:space="preserve">单位应保证服务范围内，站点须配备足够的专业技术人员（4人）负责现场质控工作。同时乙方至少</w:t>
      </w:r>
      <w:bookmarkStart w:id="57" w:name="_Hlk187234838"/>
      <w:r>
        <w:rPr>
          <w:rFonts w:hint="eastAsia" w:asciiTheme="minorEastAsia" w:hAnsiTheme="minorEastAsia" w:eastAsiaTheme="minorEastAsia" w:cstheme="minorEastAsia"/>
          <w:bCs/>
          <w:sz w:val="21"/>
          <w:szCs w:val="21"/>
        </w:rPr>
        <w:t xml:space="preserve">选派1名项目负责人在甲方指定地点进行数据校核协调支持工作。</w:t>
      </w:r>
      <w:bookmarkEnd w:id="57"/>
      <w:r>
        <w:rPr>
          <w:rFonts w:hint="eastAsia" w:asciiTheme="minorEastAsia" w:hAnsiTheme="minorEastAsia" w:eastAsiaTheme="minorEastAsia" w:cstheme="minorEastAsia"/>
          <w:bCs/>
          <w:sz w:val="21"/>
          <w:szCs w:val="21"/>
        </w:rPr>
        <w:t xml:space="preserve">苏州市生态环境局有权要求质控单位撤换不符合质控管理要求的工作人员。</w:t>
      </w:r>
      <w:r/>
    </w:p>
    <w:p>
      <w:pPr>
        <w:ind w:left="0" w:firstLine="420"/>
        <w:spacing w:line="360" w:lineRule="auto"/>
        <w:rPr>
          <w:rFonts w:hint="eastAsia" w:asciiTheme="minorEastAsia" w:hAnsiTheme="minorEastAsia" w:eastAsiaTheme="minorEastAsia" w:cstheme="minorEastAsia"/>
          <w:sz w:val="21"/>
          <w:szCs w:val="21"/>
        </w:rPr>
      </w:pPr>
      <w:r/>
      <w:bookmarkStart w:id="58" w:name="_Hlk217910196"/>
      <w:r>
        <w:rPr>
          <w:rFonts w:hint="eastAsia" w:asciiTheme="minorEastAsia" w:hAnsiTheme="minorEastAsia" w:eastAsiaTheme="minorEastAsia" w:cstheme="minorEastAsia"/>
          <w:sz w:val="21"/>
          <w:szCs w:val="21"/>
        </w:rPr>
        <w:t xml:space="preserve">2.1成交后项目负责人必须具有环境保护类、仪器仪表及测试技术类相关学历，具备相关专业职称和具备3年及以上环境空气自动监控系统运维管理工作经验；</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bookmarkStart w:id="59" w:name="_Hlk185928461"/>
      <w:r>
        <w:rPr>
          <w:rFonts w:hint="eastAsia" w:asciiTheme="minorEastAsia" w:hAnsiTheme="minorEastAsia" w:eastAsiaTheme="minorEastAsia" w:cstheme="minorEastAsia"/>
          <w:sz w:val="21"/>
          <w:szCs w:val="21"/>
        </w:rPr>
        <w:t xml:space="preserve">2成交后负责数据质控等工作的技术人员必须具有计算机类、电子信息类相关专业毕业相关学历，并具有1年及以上环保相关网络数据巡检工作经验并具有相应上岗证等，人员必须为响应单位在职正式人员且具有社保缴纳证明；</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2.3成交后从事现场端质控的技术人员必须</w:t>
      </w:r>
      <w:bookmarkStart w:id="60" w:name="_Hlk185943577"/>
      <w:r>
        <w:rPr>
          <w:rFonts w:hint="eastAsia" w:asciiTheme="minorEastAsia" w:hAnsiTheme="minorEastAsia" w:eastAsiaTheme="minorEastAsia" w:cstheme="minorEastAsia"/>
          <w:sz w:val="21"/>
          <w:szCs w:val="21"/>
        </w:rPr>
        <w:t xml:space="preserve">具有环境保护类、仪器仪表及测试技术类相关</w:t>
      </w:r>
      <w:bookmarkEnd w:id="60"/>
      <w:r>
        <w:rPr>
          <w:rFonts w:hint="eastAsia" w:asciiTheme="minorEastAsia" w:hAnsiTheme="minorEastAsia" w:eastAsiaTheme="minorEastAsia" w:cstheme="minorEastAsia"/>
          <w:sz w:val="21"/>
          <w:szCs w:val="21"/>
        </w:rPr>
        <w:t xml:space="preserve">学历，具有2年及以上环境空气自动监控系统运维工作经验并具有相应上岗证等，人员必须为响应单位在职正式人员且具有社保缴纳证明。</w:t>
      </w:r>
      <w:bookmarkEnd w:id="58"/>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2.4在履约期间，变更项目组成员需经甲方书面同意，且人员变更数量不得超过三分之一。</w:t>
      </w:r>
      <w:bookmarkEnd w:id="59"/>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3.车辆等硬件保障要求（成交后立即配备到位）</w:t>
      </w:r>
      <w:r/>
    </w:p>
    <w:p>
      <w:pPr>
        <w:ind w:left="0"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本质控服务项目须配备以下装备保障工作需要：</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3.1须配备空气自动监测站网络巡检相关专业软件和专用电脑，用于网络巡检记录及各类报表的统计、分析等工作。</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3.2为本项目配备足够的质量控制和量值溯源设备，人员必须能够独立熟练操作，质控单位应保证服务范围内均能配备必要的巡查设备。</w:t>
      </w:r>
      <w:r/>
    </w:p>
    <w:p>
      <w:pPr>
        <w:ind w:left="0" w:firstLine="211"/>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4.设备要求（成交后立即配备到位）</w:t>
      </w:r>
      <w:r/>
    </w:p>
    <w:p>
      <w:pPr>
        <w:ind w:left="0" w:firstLine="42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质控单位</w:t>
      </w:r>
      <w:r>
        <w:rPr>
          <w:rFonts w:hint="eastAsia" w:ascii="宋体" w:hAnsi="宋体" w:cs="宋体"/>
          <w:sz w:val="21"/>
          <w:szCs w:val="21"/>
        </w:rPr>
        <w:t xml:space="preserve">应至少配备</w:t>
      </w:r>
      <w:r>
        <w:rPr>
          <w:rFonts w:hint="eastAsia" w:asciiTheme="minorEastAsia" w:hAnsiTheme="minorEastAsia" w:eastAsiaTheme="minorEastAsia" w:cstheme="minorEastAsia"/>
          <w:sz w:val="21"/>
          <w:szCs w:val="21"/>
        </w:rPr>
        <w:t xml:space="preserve">巡查设备：包含</w:t>
      </w:r>
      <w:r>
        <w:rPr>
          <w:rFonts w:hint="eastAsia" w:ascii="宋体" w:hAnsi="宋体" w:cs="宋体"/>
          <w:sz w:val="21"/>
          <w:szCs w:val="21"/>
        </w:rPr>
        <w:t xml:space="preserve">标准气体、零气发生器、动态校准仪、臭氧校准仪及分析仪、监测比对设备（比对项目涵盖PM</w:t>
      </w:r>
      <w:r>
        <w:rPr>
          <w:rFonts w:hint="eastAsia" w:ascii="宋体" w:hAnsi="宋体" w:cs="宋体"/>
          <w:sz w:val="21"/>
          <w:szCs w:val="21"/>
          <w:vertAlign w:val="subscript"/>
        </w:rPr>
        <w:t xml:space="preserve">2.5</w:t>
      </w:r>
      <w:r>
        <w:rPr>
          <w:rFonts w:hint="eastAsia" w:ascii="宋体" w:hAnsi="宋体" w:cs="宋体"/>
          <w:sz w:val="21"/>
          <w:szCs w:val="21"/>
        </w:rPr>
        <w:t xml:space="preserve">、O</w:t>
      </w:r>
      <w:r>
        <w:rPr>
          <w:rFonts w:hint="eastAsia" w:ascii="宋体" w:hAnsi="宋体" w:cs="宋体"/>
          <w:sz w:val="21"/>
          <w:szCs w:val="21"/>
          <w:vertAlign w:val="subscript"/>
        </w:rPr>
        <w:t xml:space="preserve">3</w:t>
      </w:r>
      <w:r>
        <w:rPr>
          <w:rFonts w:hint="eastAsia" w:ascii="宋体" w:hAnsi="宋体" w:cs="宋体"/>
          <w:sz w:val="21"/>
          <w:szCs w:val="21"/>
        </w:rPr>
        <w:t xml:space="preserve">）、便携式颗粒物监测仪器等（监测项目涵盖 PM</w:t>
      </w:r>
      <w:r>
        <w:rPr>
          <w:rFonts w:hint="eastAsia" w:ascii="宋体" w:hAnsi="宋体" w:cs="宋体"/>
          <w:sz w:val="21"/>
          <w:szCs w:val="21"/>
          <w:vertAlign w:val="subscript"/>
        </w:rPr>
        <w:t xml:space="preserve">2.5</w:t>
      </w:r>
      <w:r>
        <w:rPr>
          <w:rFonts w:hint="eastAsia" w:ascii="宋体" w:hAnsi="宋体" w:cs="宋体"/>
          <w:sz w:val="21"/>
          <w:szCs w:val="21"/>
        </w:rPr>
        <w:t xml:space="preserve">、PM</w:t>
      </w:r>
      <w:r>
        <w:rPr>
          <w:rFonts w:hint="eastAsia" w:ascii="宋体" w:hAnsi="宋体" w:cs="宋体"/>
          <w:sz w:val="21"/>
          <w:szCs w:val="21"/>
          <w:vertAlign w:val="subscript"/>
        </w:rPr>
        <w:t xml:space="preserve">10</w:t>
      </w:r>
      <w:r>
        <w:rPr>
          <w:rFonts w:hint="eastAsia" w:ascii="宋体" w:hAnsi="宋体" w:cs="宋体"/>
          <w:sz w:val="21"/>
          <w:szCs w:val="21"/>
        </w:rPr>
        <w:t xml:space="preserve">指标）、颗粒物手工监测仪、PM</w:t>
      </w:r>
      <w:r>
        <w:rPr>
          <w:rFonts w:hint="eastAsia" w:ascii="宋体" w:hAnsi="宋体" w:cs="宋体"/>
          <w:sz w:val="21"/>
          <w:szCs w:val="21"/>
          <w:vertAlign w:val="subscript"/>
        </w:rPr>
        <w:t xml:space="preserve">2.5</w:t>
      </w:r>
      <w:r>
        <w:rPr>
          <w:rFonts w:hint="eastAsia" w:ascii="宋体" w:hAnsi="宋体" w:cs="宋体"/>
          <w:sz w:val="21"/>
          <w:szCs w:val="21"/>
        </w:rPr>
        <w:t xml:space="preserve">分析仪。</w:t>
      </w:r>
      <w:r/>
    </w:p>
    <w:p>
      <w:pPr>
        <w:ind w:left="0" w:firstLine="211"/>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4.1动态气体校准仪（内含臭氧发生器和紫外光度计）</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用于在审核时稀释配置出需要浓度的标准气体供气体分析仪测量。</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正式开展成效审核工作前，动态气体校准仪的质量流量控制器进行了经过可溯源的流量计进行过核查或校准，保障工作开展后的三个月内，其动态气体校准仪的质量流量控制器具备可靠性。其臭氧发生器在工作开展前的三个月内，用更高级别的臭氧光电仪传递标准进行过标准传递。</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4.2臭氧传递标准</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在开展成效审核工作之前，动态气体校准仪将进行可溯源至国家任何的臭氧标准参考光度计（SRP）的臭氧标准传递，并确保臭氧传递的有效期在服务期内。</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4.3零气发生器</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在开展成效审核工作前，对零气发生器的分子筛和活性炭试剂进行统一更换，并每3个月进行更换，确保耗材在有效期内。</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4.4钢瓶压缩标准气</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供审核用的标气应在有效期内且压力≥3.4Mpa，且标气的不确定度应比子站现场的标气同等或更高。</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在成效审核工作前，选择环保部标准样品研究所或国家质量技术监督总局标准物质研究中心 (NRCCRM) 或美国国家标准局（NIST）的标准气体以及其他任何同等的标准气体进行充气，并确保每3个月对标准气体进行更新。</w:t>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4.5流量计</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成效审核工作过程中使用经检定或传递过的活塞式流量计、皂膜式流量计或质量流量计，用于对颗粒物监测仪进行流量审核，量计精度等级不低于1%。</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流量计将每半年进行一次计量认证，选择国家级或省级具备计量认证资格的单位进行认证工作。</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4.6温湿度计、大气压计、机械式风向风速传感器</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成效审核工作过程中使用经检定或传递过的数字温湿度计、标准大气压计和传统机械式风向风速传感器，用于站房上安装的气象设备进行比对测试。</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三种仪器将每半年进行一次计量认证，选择国家级或省级具备计量认证资格的单位进行认证工作。</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 xml:space="preserve">4.7颗粒物</w:t>
      </w:r>
      <w:r>
        <w:rPr>
          <w:rFonts w:hint="eastAsia" w:asciiTheme="minorEastAsia" w:hAnsiTheme="minorEastAsia" w:eastAsiaTheme="minorEastAsia" w:cstheme="minorEastAsia"/>
          <w:b/>
          <w:sz w:val="21"/>
          <w:szCs w:val="21"/>
        </w:rPr>
        <w:t xml:space="preserve">手工采样器及采样相关耗材</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经过校准的颗粒物手工采样器，能采集PM</w:t>
      </w:r>
      <w:r>
        <w:rPr>
          <w:rFonts w:hint="eastAsia" w:asciiTheme="minorEastAsia" w:hAnsiTheme="minorEastAsia" w:eastAsiaTheme="minorEastAsia" w:cstheme="minorEastAsia"/>
          <w:sz w:val="21"/>
          <w:szCs w:val="21"/>
          <w:vertAlign w:val="subscript"/>
        </w:rPr>
        <w:t xml:space="preserve">10</w:t>
      </w:r>
      <w:r>
        <w:rPr>
          <w:rFonts w:hint="eastAsia" w:asciiTheme="minorEastAsia" w:hAnsiTheme="minorEastAsia" w:eastAsiaTheme="minorEastAsia" w:cstheme="minorEastAsia"/>
          <w:sz w:val="21"/>
          <w:szCs w:val="21"/>
        </w:rPr>
        <w:t xml:space="preserve">和PM</w:t>
      </w:r>
      <w:r>
        <w:rPr>
          <w:rFonts w:hint="eastAsia" w:asciiTheme="minorEastAsia" w:hAnsiTheme="minorEastAsia" w:eastAsiaTheme="minorEastAsia" w:cstheme="minorEastAsia"/>
          <w:sz w:val="21"/>
          <w:szCs w:val="21"/>
          <w:vertAlign w:val="subscript"/>
        </w:rPr>
        <w:t xml:space="preserve">2.5</w:t>
      </w:r>
      <w:r>
        <w:rPr>
          <w:rFonts w:hint="eastAsia" w:asciiTheme="minorEastAsia" w:hAnsiTheme="minorEastAsia" w:eastAsiaTheme="minorEastAsia" w:cstheme="minorEastAsia"/>
          <w:sz w:val="21"/>
          <w:szCs w:val="21"/>
        </w:rPr>
        <w:t xml:space="preserve">。相关耗材包括：采样滤膜、滤膜盒、保温运输箱、铝箔纸、镊子等。</w:t>
      </w:r>
      <w:r/>
    </w:p>
    <w:p>
      <w:pPr>
        <w:ind w:left="0" w:firstLine="422"/>
        <w:spacing w:line="360" w:lineRule="auto"/>
        <w:tabs>
          <w:tab w:val="left" w:pos="567"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所有核查用的设备均由响应单位自备，且每台设备均有相关计量部门的计量认证证书，且使用时，应在取得的证书有效期内。</w:t>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sz w:val="21"/>
          <w:szCs w:val="21"/>
        </w:rPr>
        <w:t xml:space="preserve">5.工作</w:t>
      </w:r>
      <w:r>
        <w:rPr>
          <w:rFonts w:hint="eastAsia" w:asciiTheme="minorEastAsia" w:hAnsiTheme="minorEastAsia" w:eastAsiaTheme="minorEastAsia" w:cstheme="minorEastAsia"/>
          <w:b/>
          <w:bCs/>
          <w:sz w:val="21"/>
          <w:szCs w:val="21"/>
        </w:rPr>
        <w:t xml:space="preserve">内容要求</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控工作包括在线分析、子站巡查和比对监测等，通过质控对空气自动站运维情况进行现场考核；还包括根据工作需要开展的计划外巡查任务。按照苏州市生态环境局空气质量发布和空气自动站数据异常判定处置要求，定期对空气质量数据进行汇总统计，对异常数据及时发布预警管控信息，进行数据有效性校核。  </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响应单位应遵守生态环境部、中国环境监测总站、江苏省环保厅、苏州市生态环境局关于环境空气自动监测城市站运行管理的各项规定，如有更新，则按最新规定执行。</w:t>
      </w:r>
      <w:r/>
    </w:p>
    <w:p>
      <w:pPr>
        <w:ind w:left="400"/>
        <w:spacing w:line="360" w:lineRule="auto"/>
        <w:tabs>
          <w:tab w:val="left" w:pos="567"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5.1在线分析</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每日进行网络数据巡检，负责对平台数据脱机、异常数据的判别，并对异常数据、超标数据等进行记录，核对运营单位提交的数据异常、仪器故障等各类表格或工作联系单的及时性和真实性；督促运营单位对现场运维的整改和落实。</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（2）对重大污染事故以短信、电话等形式及时向采购人进行信息汇报。</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（3）成交单位需至少有两人负责平台监控。按照甲方要求进行每天数据审核、每月月报统计、每季度报告统计、故障统计、数据有效率统计等。</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（4）负责监控仪器状态。对有故障的仪器及时报运维单位维修，并通知甲方做好故障报备。</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（5）督运营单位对数据信息平台的日常维护和数据备份的落实情况。</w:t>
      </w:r>
      <w:r/>
    </w:p>
    <w:p>
      <w:pPr>
        <w:pStyle w:val="1056"/>
        <w:ind w:left="0" w:firstLine="422"/>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（6）监测设备编号核查（配合进行每个站点设备编号整理，如有运维人员私自更换监测设备立即上报）。</w:t>
      </w:r>
      <w:r/>
    </w:p>
    <w:p>
      <w:pPr>
        <w:ind w:left="400"/>
        <w:spacing w:line="360" w:lineRule="auto"/>
        <w:tabs>
          <w:tab w:val="left" w:pos="567"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5.2站点质控</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61" w:name="_Toc88485502"/>
      <w:r>
        <w:rPr>
          <w:rFonts w:hint="eastAsia" w:asciiTheme="minorEastAsia" w:hAnsiTheme="minorEastAsia" w:eastAsiaTheme="minorEastAsia" w:cstheme="minorEastAsia"/>
          <w:sz w:val="21"/>
          <w:szCs w:val="21"/>
        </w:rPr>
        <w:t xml:space="preserve">5.2.1质控（QC）巡查</w:t>
      </w:r>
      <w:bookmarkEnd w:id="61"/>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bookmarkStart w:id="62" w:name="_Toc88485503"/>
      <w:r>
        <w:rPr>
          <w:rFonts w:hint="eastAsia" w:asciiTheme="minorEastAsia" w:hAnsiTheme="minorEastAsia" w:eastAsiaTheme="minorEastAsia" w:cstheme="minorEastAsia"/>
          <w:b/>
          <w:bCs/>
          <w:sz w:val="21"/>
          <w:szCs w:val="21"/>
        </w:rPr>
        <w:t xml:space="preserve">5.2.1.1站房外部环境</w:t>
      </w:r>
      <w:bookmarkEnd w:id="62"/>
      <w:r>
        <w:rPr>
          <w:rFonts w:hint="eastAsia" w:asciiTheme="minorEastAsia" w:hAnsiTheme="minorEastAsia" w:eastAsiaTheme="minorEastAsia" w:cstheme="minorEastAsia"/>
          <w:b/>
          <w:bCs/>
          <w:sz w:val="21"/>
          <w:szCs w:val="21"/>
        </w:rPr>
        <w:t xml:space="preserve">巡查</w:t>
      </w:r>
      <w:r/>
    </w:p>
    <w:p>
      <w:pPr>
        <w:ind w:left="0" w:firstLine="420"/>
        <w:spacing w:line="360" w:lineRule="auto"/>
        <w:rPr>
          <w:rFonts w:hint="eastAsia" w:asciiTheme="minorEastAsia" w:hAnsiTheme="minorEastAsia" w:eastAsiaTheme="minorEastAsia" w:cstheme="minorEastAsia"/>
          <w:bCs/>
          <w:sz w:val="21"/>
          <w:szCs w:val="21"/>
        </w:rPr>
      </w:pPr>
      <w:r/>
      <w:bookmarkStart w:id="63" w:name="_Toc27920"/>
      <w:r/>
      <w:bookmarkStart w:id="64" w:name="_Toc27733"/>
      <w:r>
        <w:rPr>
          <w:rFonts w:hint="eastAsia" w:asciiTheme="minorEastAsia" w:hAnsiTheme="minorEastAsia" w:eastAsiaTheme="minorEastAsia" w:cstheme="minorEastAsia"/>
          <w:sz w:val="21"/>
          <w:szCs w:val="21"/>
        </w:rPr>
        <w:t xml:space="preserve">（1） 测试现场的经纬度</w:t>
      </w:r>
      <w:r>
        <w:rPr>
          <w:rFonts w:hint="eastAsia" w:asciiTheme="minorEastAsia" w:hAnsiTheme="minorEastAsia" w:eastAsiaTheme="minorEastAsia" w:cstheme="minorEastAsia"/>
          <w:bCs/>
          <w:sz w:val="21"/>
          <w:szCs w:val="21"/>
        </w:rPr>
        <w:t xml:space="preserve">是否与报备的一致。</w:t>
      </w:r>
      <w:bookmarkEnd w:id="63"/>
      <w:r/>
      <w:bookmarkEnd w:id="64"/>
      <w:r/>
      <w:r/>
    </w:p>
    <w:p>
      <w:pPr>
        <w:ind w:left="0" w:firstLine="420"/>
        <w:spacing w:line="360" w:lineRule="auto"/>
        <w:rPr>
          <w:rFonts w:hint="eastAsia" w:asciiTheme="minorEastAsia" w:hAnsiTheme="minorEastAsia" w:eastAsiaTheme="minorEastAsia" w:cstheme="minorEastAsia"/>
          <w:bCs/>
          <w:sz w:val="21"/>
          <w:szCs w:val="21"/>
        </w:rPr>
      </w:pPr>
      <w:r/>
      <w:bookmarkStart w:id="65" w:name="_Toc4814"/>
      <w:r/>
      <w:bookmarkStart w:id="66" w:name="_Toc15311"/>
      <w:r>
        <w:rPr>
          <w:rFonts w:hint="eastAsia" w:asciiTheme="minorEastAsia" w:hAnsiTheme="minorEastAsia" w:eastAsiaTheme="minorEastAsia" w:cstheme="minorEastAsia"/>
          <w:bCs/>
          <w:sz w:val="21"/>
          <w:szCs w:val="21"/>
        </w:rPr>
        <w:t xml:space="preserve">（2） 点位周边环境是否有变化。</w:t>
      </w:r>
      <w:bookmarkEnd w:id="65"/>
      <w:r/>
      <w:bookmarkEnd w:id="66"/>
      <w:r/>
      <w:r/>
    </w:p>
    <w:p>
      <w:pPr>
        <w:ind w:left="0" w:firstLine="420"/>
        <w:spacing w:line="360" w:lineRule="auto"/>
        <w:rPr>
          <w:rFonts w:hint="eastAsia" w:asciiTheme="minorEastAsia" w:hAnsiTheme="minorEastAsia" w:eastAsiaTheme="minorEastAsia" w:cstheme="minorEastAsia"/>
          <w:bCs/>
          <w:sz w:val="21"/>
          <w:szCs w:val="21"/>
        </w:rPr>
      </w:pPr>
      <w:r/>
      <w:bookmarkStart w:id="67" w:name="_Toc6399"/>
      <w:r/>
      <w:bookmarkStart w:id="68" w:name="_Toc31265"/>
      <w:r>
        <w:rPr>
          <w:rFonts w:hint="eastAsia" w:asciiTheme="minorEastAsia" w:hAnsiTheme="minorEastAsia" w:eastAsiaTheme="minorEastAsia" w:cstheme="minorEastAsia"/>
          <w:bCs/>
          <w:sz w:val="21"/>
          <w:szCs w:val="21"/>
        </w:rPr>
        <w:t xml:space="preserve">（3） 点位周边安全是否有隐患。</w:t>
      </w:r>
      <w:bookmarkEnd w:id="67"/>
      <w:r/>
      <w:bookmarkEnd w:id="68"/>
      <w:r/>
      <w:r/>
    </w:p>
    <w:p>
      <w:pPr>
        <w:ind w:left="0" w:firstLine="420"/>
        <w:spacing w:line="360" w:lineRule="auto"/>
        <w:rPr>
          <w:rFonts w:hint="eastAsia" w:asciiTheme="minorEastAsia" w:hAnsiTheme="minorEastAsia" w:eastAsiaTheme="minorEastAsia" w:cstheme="minorEastAsia"/>
          <w:bCs/>
          <w:sz w:val="21"/>
          <w:szCs w:val="21"/>
        </w:rPr>
      </w:pPr>
      <w:r/>
      <w:bookmarkStart w:id="69" w:name="_Toc2437"/>
      <w:r/>
      <w:bookmarkStart w:id="70" w:name="_Toc7860"/>
      <w:r>
        <w:rPr>
          <w:rFonts w:hint="eastAsia" w:asciiTheme="minorEastAsia" w:hAnsiTheme="minorEastAsia" w:eastAsiaTheme="minorEastAsia" w:cstheme="minorEastAsia"/>
          <w:bCs/>
          <w:sz w:val="21"/>
          <w:szCs w:val="21"/>
        </w:rPr>
        <w:t xml:space="preserve">（4） 点位周边道路、供电线路、通讯线路、给排水设施是否完好。</w:t>
      </w:r>
      <w:bookmarkEnd w:id="69"/>
      <w:r/>
      <w:bookmarkEnd w:id="70"/>
      <w:r/>
      <w:r/>
    </w:p>
    <w:p>
      <w:pPr>
        <w:ind w:left="0" w:firstLine="420"/>
        <w:spacing w:line="360" w:lineRule="auto"/>
        <w:rPr>
          <w:rFonts w:hint="eastAsia" w:asciiTheme="minorEastAsia" w:hAnsiTheme="minorEastAsia" w:eastAsiaTheme="minorEastAsia" w:cstheme="minorEastAsia"/>
          <w:bCs/>
          <w:sz w:val="21"/>
          <w:szCs w:val="21"/>
        </w:rPr>
      </w:pPr>
      <w:r/>
      <w:bookmarkStart w:id="71" w:name="_Toc7905"/>
      <w:r/>
      <w:bookmarkStart w:id="72" w:name="_Toc13505"/>
      <w:r>
        <w:rPr>
          <w:rFonts w:hint="eastAsia" w:asciiTheme="minorEastAsia" w:hAnsiTheme="minorEastAsia" w:eastAsiaTheme="minorEastAsia" w:cstheme="minorEastAsia"/>
          <w:bCs/>
          <w:sz w:val="21"/>
          <w:szCs w:val="21"/>
        </w:rPr>
        <w:t xml:space="preserve">（5） 站房外围的防护栏、隔离带是否有损坏。</w:t>
      </w:r>
      <w:bookmarkEnd w:id="71"/>
      <w:r/>
      <w:bookmarkEnd w:id="72"/>
      <w:r/>
      <w:r/>
    </w:p>
    <w:p>
      <w:pPr>
        <w:ind w:left="0" w:firstLine="420"/>
        <w:spacing w:line="360" w:lineRule="auto"/>
        <w:rPr>
          <w:rFonts w:hint="eastAsia" w:asciiTheme="minorEastAsia" w:hAnsiTheme="minorEastAsia" w:eastAsiaTheme="minorEastAsia" w:cstheme="minorEastAsia"/>
          <w:bCs/>
          <w:sz w:val="21"/>
          <w:szCs w:val="21"/>
        </w:rPr>
      </w:pPr>
      <w:r/>
      <w:bookmarkStart w:id="73" w:name="_Toc27898"/>
      <w:r/>
      <w:bookmarkStart w:id="74" w:name="_Toc27762"/>
      <w:r>
        <w:rPr>
          <w:rFonts w:hint="eastAsia" w:asciiTheme="minorEastAsia" w:hAnsiTheme="minorEastAsia" w:eastAsiaTheme="minorEastAsia" w:cstheme="minorEastAsia"/>
          <w:bCs/>
          <w:sz w:val="21"/>
          <w:szCs w:val="21"/>
        </w:rPr>
        <w:t xml:space="preserve">（6） 监控视频是否运行正常，镜头是否清洁。</w:t>
      </w:r>
      <w:bookmarkEnd w:id="73"/>
      <w:r/>
      <w:bookmarkEnd w:id="74"/>
      <w:r/>
      <w:r/>
    </w:p>
    <w:p>
      <w:pPr>
        <w:ind w:left="0" w:firstLine="420"/>
        <w:spacing w:line="360" w:lineRule="auto"/>
        <w:rPr>
          <w:rFonts w:hint="eastAsia" w:asciiTheme="minorEastAsia" w:hAnsiTheme="minorEastAsia" w:eastAsiaTheme="minorEastAsia" w:cstheme="minorEastAsia"/>
          <w:bCs/>
          <w:sz w:val="21"/>
          <w:szCs w:val="21"/>
        </w:rPr>
      </w:pPr>
      <w:r/>
      <w:bookmarkStart w:id="75" w:name="_Toc1058"/>
      <w:r/>
      <w:bookmarkStart w:id="76" w:name="_Toc21372"/>
      <w:r>
        <w:rPr>
          <w:rFonts w:hint="eastAsia" w:asciiTheme="minorEastAsia" w:hAnsiTheme="minorEastAsia" w:eastAsiaTheme="minorEastAsia" w:cstheme="minorEastAsia"/>
          <w:bCs/>
          <w:sz w:val="21"/>
          <w:szCs w:val="21"/>
        </w:rPr>
        <w:t xml:space="preserve">（7） 巡查站点周边是否存在干扰因子。</w:t>
      </w:r>
      <w:bookmarkEnd w:id="75"/>
      <w:r/>
      <w:bookmarkEnd w:id="76"/>
      <w:r/>
      <w:r/>
    </w:p>
    <w:p>
      <w:pPr>
        <w:ind w:left="0" w:firstLine="420"/>
        <w:spacing w:line="360" w:lineRule="auto"/>
        <w:rPr>
          <w:rFonts w:hint="eastAsia" w:asciiTheme="minorEastAsia" w:hAnsiTheme="minorEastAsia" w:eastAsiaTheme="minorEastAsia" w:cstheme="minorEastAsia"/>
          <w:bCs/>
          <w:sz w:val="21"/>
          <w:szCs w:val="21"/>
        </w:rPr>
      </w:pPr>
      <w:r/>
      <w:bookmarkStart w:id="77" w:name="_Toc12896"/>
      <w:r/>
      <w:bookmarkStart w:id="78" w:name="_Toc1304"/>
      <w:r>
        <w:rPr>
          <w:rFonts w:hint="eastAsia" w:asciiTheme="minorEastAsia" w:hAnsiTheme="minorEastAsia" w:eastAsiaTheme="minorEastAsia" w:cstheme="minorEastAsia"/>
          <w:bCs/>
          <w:sz w:val="21"/>
          <w:szCs w:val="21"/>
        </w:rPr>
        <w:t xml:space="preserve">（8） 巡查屋顶是否完好，有无漏雨情况。</w:t>
      </w:r>
      <w:bookmarkEnd w:id="77"/>
      <w:r/>
      <w:bookmarkEnd w:id="78"/>
      <w:r/>
      <w:r/>
    </w:p>
    <w:p>
      <w:pPr>
        <w:ind w:left="0" w:firstLine="420"/>
        <w:spacing w:line="360" w:lineRule="auto"/>
        <w:rPr>
          <w:rFonts w:hint="eastAsia" w:asciiTheme="minorEastAsia" w:hAnsiTheme="minorEastAsia" w:eastAsiaTheme="minorEastAsia" w:cstheme="minorEastAsia"/>
          <w:bCs/>
          <w:sz w:val="21"/>
          <w:szCs w:val="21"/>
        </w:rPr>
      </w:pPr>
      <w:r/>
      <w:bookmarkStart w:id="79" w:name="_Toc29426"/>
      <w:r/>
      <w:bookmarkStart w:id="80" w:name="_Toc31303"/>
      <w:r>
        <w:rPr>
          <w:rFonts w:hint="eastAsia" w:asciiTheme="minorEastAsia" w:hAnsiTheme="minorEastAsia" w:eastAsiaTheme="minorEastAsia" w:cstheme="minorEastAsia"/>
          <w:bCs/>
          <w:sz w:val="21"/>
          <w:szCs w:val="21"/>
        </w:rPr>
        <w:t xml:space="preserve">（9） 巡查避雷系统是否完好。</w:t>
      </w:r>
      <w:bookmarkEnd w:id="79"/>
      <w:r/>
      <w:bookmarkEnd w:id="80"/>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bookmarkStart w:id="81" w:name="_Toc88485504"/>
      <w:r>
        <w:rPr>
          <w:rFonts w:hint="eastAsia" w:asciiTheme="minorEastAsia" w:hAnsiTheme="minorEastAsia" w:eastAsiaTheme="minorEastAsia" w:cstheme="minorEastAsia"/>
          <w:b/>
          <w:bCs/>
          <w:sz w:val="21"/>
          <w:szCs w:val="21"/>
        </w:rPr>
        <w:t xml:space="preserve">5.2.1.2站房内部</w:t>
      </w:r>
      <w:bookmarkEnd w:id="81"/>
      <w:r>
        <w:rPr>
          <w:rFonts w:hint="eastAsia" w:asciiTheme="minorEastAsia" w:hAnsiTheme="minorEastAsia" w:eastAsiaTheme="minorEastAsia" w:cstheme="minorEastAsia"/>
          <w:b/>
          <w:bCs/>
          <w:sz w:val="21"/>
          <w:szCs w:val="21"/>
        </w:rPr>
        <w:t xml:space="preserve">巡查</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 站房供电、照明和通讯设备是否是正常。</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 稳压电源参数是否正常。</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 站房防雷接地是否完好。</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 消防器材是否在使用有效期内。</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 站房内部是仪器仪表的气密性巡查是否有异味。</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（6） 空调是否直吹采样总管。</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（7） 站房内是否有温湿度计。</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 站房内部是否整齐干净。</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（9） 室内温度是否在25℃±5℃之间。</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（10） 相对湿度是否小于等于80%。</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（11） 大气压是否在80～106kpa之间（特殊地区除外）。</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（12） 室内外监控系统是否正常运行。</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（13） 站房需配置必要的仪器桌、资料柜、办公桌椅等设施。</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（14） 站房是否良好的有线和无线电接入设施，保障通讯稳定畅通。</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（15） 巡查采样和排气管路是否有漏气或堵塞现象，各分析仪器采样流量是否正常。</w:t>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bookmarkStart w:id="82" w:name="_Toc88485505"/>
      <w:r>
        <w:rPr>
          <w:rFonts w:hint="eastAsia" w:asciiTheme="minorEastAsia" w:hAnsiTheme="minorEastAsia" w:eastAsiaTheme="minorEastAsia" w:cstheme="minorEastAsia"/>
          <w:b/>
          <w:bCs/>
          <w:sz w:val="21"/>
          <w:szCs w:val="21"/>
        </w:rPr>
        <w:t xml:space="preserve">5.2.1.3监测系统</w:t>
      </w:r>
      <w:bookmarkEnd w:id="82"/>
      <w:r>
        <w:rPr>
          <w:rFonts w:hint="eastAsia" w:asciiTheme="minorEastAsia" w:hAnsiTheme="minorEastAsia" w:eastAsiaTheme="minorEastAsia" w:cstheme="minorEastAsia"/>
          <w:b/>
          <w:bCs/>
          <w:sz w:val="21"/>
          <w:szCs w:val="21"/>
        </w:rPr>
        <w:t xml:space="preserve">巡查</w:t>
      </w:r>
      <w:r/>
    </w:p>
    <w:p>
      <w:pPr>
        <w:pStyle w:val="1337"/>
        <w:ind w:left="0" w:firstLine="42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A、 采样总管的巡查</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 采样总管支路到仪表的距离是否小于3M。</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 采样总管加热温度是否在30℃-50℃之间。</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 采样总管支路内是否有冷凝水。</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  所有仪表的排废气管路是否接入到站房外部。</w:t>
      </w:r>
      <w:bookmarkStart w:id="83" w:name="_Toc1487"/>
      <w:r/>
      <w:bookmarkStart w:id="84" w:name="_Toc7499"/>
      <w:r/>
      <w:bookmarkStart w:id="85" w:name="_Toc29574"/>
      <w:r/>
      <w:r/>
    </w:p>
    <w:p>
      <w:pPr>
        <w:ind w:left="0" w:firstLine="422"/>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sz w:val="21"/>
          <w:szCs w:val="21"/>
        </w:rPr>
        <w:t xml:space="preserve">B、 标准质控设备的</w:t>
      </w:r>
      <w:bookmarkEnd w:id="83"/>
      <w:r/>
      <w:bookmarkEnd w:id="84"/>
      <w:r/>
      <w:bookmarkEnd w:id="85"/>
      <w:r>
        <w:rPr>
          <w:rFonts w:hint="eastAsia" w:asciiTheme="minorEastAsia" w:hAnsiTheme="minorEastAsia" w:eastAsiaTheme="minorEastAsia" w:cstheme="minorEastAsia"/>
          <w:b/>
          <w:sz w:val="21"/>
          <w:szCs w:val="21"/>
        </w:rPr>
        <w:t xml:space="preserve">巡查</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 接入监测系统的标气是否在有效期内。</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 标准质量流量计、温湿度计、大气压计是否每年送检国家相关部门检定合格。</w:t>
      </w:r>
      <w:r/>
    </w:p>
    <w:p>
      <w:pPr>
        <w:pStyle w:val="1337"/>
        <w:ind w:left="0" w:firstLine="422"/>
        <w:spacing w:line="360" w:lineRule="auto"/>
        <w:rPr>
          <w:rFonts w:hint="eastAsia" w:asciiTheme="minorEastAsia" w:hAnsiTheme="minorEastAsia" w:eastAsiaTheme="minorEastAsia" w:cstheme="minorEastAsia"/>
          <w:b/>
          <w:sz w:val="21"/>
          <w:szCs w:val="21"/>
        </w:rPr>
      </w:pPr>
      <w:r/>
      <w:bookmarkStart w:id="86" w:name="_Toc28061"/>
      <w:r/>
      <w:bookmarkStart w:id="87" w:name="_Toc5845"/>
      <w:r/>
      <w:bookmarkStart w:id="88" w:name="_Toc28310"/>
      <w:r>
        <w:rPr>
          <w:rFonts w:hint="eastAsia" w:asciiTheme="minorEastAsia" w:hAnsiTheme="minorEastAsia" w:eastAsiaTheme="minorEastAsia" w:cstheme="minorEastAsia"/>
          <w:b/>
          <w:sz w:val="21"/>
          <w:szCs w:val="21"/>
        </w:rPr>
        <w:t xml:space="preserve">C、 平台</w:t>
      </w:r>
      <w:bookmarkEnd w:id="86"/>
      <w:r/>
      <w:bookmarkEnd w:id="87"/>
      <w:r/>
      <w:bookmarkEnd w:id="88"/>
      <w:r>
        <w:rPr>
          <w:rFonts w:hint="eastAsia" w:asciiTheme="minorEastAsia" w:hAnsiTheme="minorEastAsia" w:eastAsiaTheme="minorEastAsia" w:cstheme="minorEastAsia"/>
          <w:b/>
          <w:sz w:val="21"/>
          <w:szCs w:val="21"/>
        </w:rPr>
        <w:t xml:space="preserve">巡查</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 巡查所有的仪表数据是否与中大数采软件的数据一致，并上传至市站。</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 巡查数据采集软件的历史数据是否齐全。现场工控机是否有数据备份。</w:t>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bookmarkStart w:id="89" w:name="_Toc88485506"/>
      <w:r>
        <w:rPr>
          <w:rFonts w:hint="eastAsia" w:asciiTheme="minorEastAsia" w:hAnsiTheme="minorEastAsia" w:eastAsiaTheme="minorEastAsia" w:cstheme="minorEastAsia"/>
          <w:b/>
          <w:bCs/>
          <w:sz w:val="21"/>
          <w:szCs w:val="21"/>
        </w:rPr>
        <w:t xml:space="preserve">5.2.1.4质控设备及分析仪器</w:t>
      </w:r>
      <w:bookmarkEnd w:id="89"/>
      <w:r>
        <w:rPr>
          <w:rFonts w:hint="eastAsia" w:asciiTheme="minorEastAsia" w:hAnsiTheme="minorEastAsia" w:eastAsiaTheme="minorEastAsia" w:cstheme="minorEastAsia"/>
          <w:b/>
          <w:bCs/>
          <w:sz w:val="21"/>
          <w:szCs w:val="21"/>
        </w:rPr>
        <w:t xml:space="preserve">巡查</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 巡查各分析仪器运行状况或工作参数是否正常。例如流量、气温、气压等是否正常。</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 振荡天平法设备应巡查仪器测量噪声、振荡频率等指标是否在说明书规定的范围内。</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 巡查质控设备及分析仪器的标识及编号是否与国家报备的一致。</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（4） 巡查分子筛、氧化剂、活性炭是否在半年内更换一次，现场是否有记录。</w:t>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bookmarkStart w:id="90" w:name="_Toc88485507"/>
      <w:r>
        <w:rPr>
          <w:rFonts w:hint="eastAsia" w:asciiTheme="minorEastAsia" w:hAnsiTheme="minorEastAsia" w:eastAsiaTheme="minorEastAsia" w:cstheme="minorEastAsia"/>
          <w:b/>
          <w:bCs/>
          <w:sz w:val="21"/>
          <w:szCs w:val="21"/>
        </w:rPr>
        <w:t xml:space="preserve">5.2.1.5现场监控视频</w:t>
      </w:r>
      <w:bookmarkEnd w:id="90"/>
      <w:r>
        <w:rPr>
          <w:rFonts w:hint="eastAsia" w:asciiTheme="minorEastAsia" w:hAnsiTheme="minorEastAsia" w:eastAsiaTheme="minorEastAsia" w:cstheme="minorEastAsia"/>
          <w:b/>
          <w:bCs/>
          <w:sz w:val="21"/>
          <w:szCs w:val="21"/>
        </w:rPr>
        <w:t xml:space="preserve">巡查</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w:t>
      </w:r>
      <w:r>
        <w:rPr>
          <w:rFonts w:asciiTheme="minorEastAsia" w:hAnsiTheme="minorEastAsia" w:eastAsiaTheme="minorEastAsia" w:cstheme="minorEastAsia"/>
          <w:bCs/>
          <w:sz w:val="21"/>
          <w:szCs w:val="21"/>
        </w:rPr>
        <w:t xml:space="preserve">）</w:t>
      </w:r>
      <w:r>
        <w:rPr>
          <w:rFonts w:hint="eastAsia" w:asciiTheme="minorEastAsia" w:hAnsiTheme="minorEastAsia" w:eastAsiaTheme="minorEastAsia" w:cstheme="minorEastAsia"/>
          <w:bCs/>
          <w:sz w:val="21"/>
          <w:szCs w:val="21"/>
        </w:rPr>
        <w:t xml:space="preserve">查看监控视频是否有非运维人员进入站房采样区域；</w:t>
      </w:r>
      <w:r/>
    </w:p>
    <w:p>
      <w:pPr>
        <w:ind w:left="0" w:firstLine="42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（2）查看监控视频运维人员是否按要求完成每周、每月、每季度、每半年、每年运维任务。</w:t>
      </w:r>
      <w:r/>
    </w:p>
    <w:p>
      <w:pPr>
        <w:ind w:left="400"/>
        <w:spacing w:line="360" w:lineRule="auto"/>
        <w:tabs>
          <w:tab w:val="left" w:pos="567" w:leader="none"/>
        </w:tabs>
        <w:rPr>
          <w:rFonts w:hint="eastAsia" w:asciiTheme="minorEastAsia" w:hAnsiTheme="minorEastAsia" w:eastAsiaTheme="minorEastAsia" w:cstheme="minorEastAsia"/>
          <w:b/>
          <w:bCs/>
          <w:sz w:val="21"/>
          <w:szCs w:val="21"/>
        </w:rPr>
      </w:pPr>
      <w:r/>
      <w:bookmarkStart w:id="91" w:name="_Toc88485508"/>
      <w:r>
        <w:rPr>
          <w:rFonts w:hint="eastAsia" w:asciiTheme="minorEastAsia" w:hAnsiTheme="minorEastAsia" w:eastAsiaTheme="minorEastAsia" w:cstheme="minorEastAsia"/>
          <w:b/>
          <w:bCs/>
          <w:sz w:val="21"/>
          <w:szCs w:val="21"/>
        </w:rPr>
        <w:t xml:space="preserve">5.3质保（QA）</w:t>
      </w:r>
      <w:bookmarkEnd w:id="91"/>
      <w:r>
        <w:rPr>
          <w:rFonts w:hint="eastAsia" w:asciiTheme="minorEastAsia" w:hAnsiTheme="minorEastAsia" w:eastAsiaTheme="minorEastAsia" w:cstheme="minorEastAsia"/>
          <w:b/>
          <w:bCs/>
          <w:sz w:val="21"/>
          <w:szCs w:val="21"/>
        </w:rPr>
        <w:t xml:space="preserve">巡查</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92" w:name="_Toc88485509"/>
      <w:r>
        <w:rPr>
          <w:rFonts w:hint="eastAsia" w:asciiTheme="minorEastAsia" w:hAnsiTheme="minorEastAsia" w:eastAsiaTheme="minorEastAsia" w:cstheme="minorEastAsia"/>
          <w:sz w:val="21"/>
          <w:szCs w:val="21"/>
        </w:rPr>
        <w:t xml:space="preserve">5.3.1 MFC测试</w:t>
      </w:r>
      <w:bookmarkEnd w:id="92"/>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（1）多气体动态校准仪配置某L的气体用标准流量计核查零气MFC分别执行7点流量，每个点进行10次测试。</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（2）多气体动态校准仪配置某L的气体用标准流量计核查标气MFC分别执行7点流量，每个点进行10次测试。</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（3）工况换算标况计算方法：</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标况流量=K×工况流量×（实际气压÷1个大气压）×｛273.15÷（273.15+实际温度）｝，（K=1）。</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（4）最后输入电脑计算其每个点流量的准确度及斜率、截距及线性相关系数。</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93" w:name="_Toc88485510"/>
      <w:r>
        <w:rPr>
          <w:rFonts w:hint="eastAsia" w:asciiTheme="minorEastAsia" w:hAnsiTheme="minorEastAsia" w:eastAsiaTheme="minorEastAsia" w:cstheme="minorEastAsia"/>
          <w:sz w:val="21"/>
          <w:szCs w:val="21"/>
        </w:rPr>
        <w:t xml:space="preserve">5.3.2 CO分析仪连续检测系统</w:t>
      </w:r>
      <w:bookmarkEnd w:id="93"/>
      <w:r>
        <w:rPr>
          <w:rFonts w:hint="eastAsia" w:asciiTheme="minorEastAsia" w:hAnsiTheme="minorEastAsia" w:eastAsiaTheme="minorEastAsia" w:cstheme="minorEastAsia"/>
          <w:sz w:val="21"/>
          <w:szCs w:val="21"/>
        </w:rPr>
        <w:t xml:space="preserve">巡查</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（1）巡查K值和B值是否在正常范围内。</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（2）巡查流量是否与标准流量计相对误差≤±10%。</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（3）仪器响应时间：用多气体动态校准仪配气40PPm，分析仪器4分钟内响应通气80%满量程的90%的气体。</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（4）量程漂移测试：多气体动态校准仪输出稀释80%满量程气体至分析仪器，分析仪器校准时稳定值与多气体动态校准仪实际值的相对误差≤±5%。</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（5）多点校准测试：测试点有：0PPm、5PPm、10PPm、20PPm、30PPm、40PPm。</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（6）盲样考核：用追朔至NIST的进口标准气体对仪器进行盲样巡查，已验证仪器的准确性。</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94" w:name="_Toc88485511"/>
      <w:r>
        <w:rPr>
          <w:rFonts w:hint="eastAsia" w:asciiTheme="minorEastAsia" w:hAnsiTheme="minorEastAsia" w:eastAsiaTheme="minorEastAsia" w:cstheme="minorEastAsia"/>
          <w:sz w:val="21"/>
          <w:szCs w:val="21"/>
        </w:rPr>
        <w:t xml:space="preserve">5.3.3 SO</w:t>
      </w:r>
      <w:r>
        <w:rPr>
          <w:rFonts w:hint="eastAsia" w:asciiTheme="minorEastAsia" w:hAnsiTheme="minorEastAsia" w:eastAsiaTheme="minorEastAsia" w:cstheme="minorEastAsia"/>
          <w:sz w:val="21"/>
          <w:szCs w:val="21"/>
          <w:vertAlign w:val="subscript"/>
        </w:rPr>
        <w:t xml:space="preserve">2</w:t>
      </w:r>
      <w:r>
        <w:rPr>
          <w:rFonts w:hint="eastAsia" w:asciiTheme="minorEastAsia" w:hAnsiTheme="minorEastAsia" w:eastAsiaTheme="minorEastAsia" w:cstheme="minorEastAsia"/>
          <w:sz w:val="21"/>
          <w:szCs w:val="21"/>
        </w:rPr>
        <w:t xml:space="preserve">分析仪连续检测系统</w:t>
      </w:r>
      <w:bookmarkEnd w:id="94"/>
      <w:r>
        <w:rPr>
          <w:rFonts w:hint="eastAsia" w:asciiTheme="minorEastAsia" w:hAnsiTheme="minorEastAsia" w:eastAsiaTheme="minorEastAsia" w:cstheme="minorEastAsia"/>
          <w:sz w:val="21"/>
          <w:szCs w:val="21"/>
        </w:rPr>
        <w:t xml:space="preserve">巡查</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（1）巡查K值和B值是否在正常范围内。</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（2）巡查流量是否与标准流量计相对误差≤±10%。</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（3）仪器响应时间：用多气体动态校准仪配气400PPB，分析仪器5分钟内响应通气80%满量程的90%的气体。</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（4）量程漂移测试：多气体动态校准仪输出稀释80%满量程气体至分析仪器，分析仪器校准时稳定值与多气体动态校准仪实际值的相对误差≤±5%。</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（5）多点校准测试：测试点有：0PPb、50PPb、100PPb、200PPb、300PPb、400PPb。</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（6）盲样考核：用追朔至NIST的进口标准气体对仪器进行盲样巡查，已验证仪器的准确性。</w:t>
      </w:r>
      <w:r/>
    </w:p>
    <w:p>
      <w:pPr>
        <w:pStyle w:val="1409"/>
        <w:ind w:left="0"/>
        <w:rPr>
          <w:rFonts w:hint="eastAsia" w:asciiTheme="minorEastAsia" w:hAnsiTheme="minorEastAsia" w:eastAsiaTheme="minorEastAsia" w:cstheme="minorEastAsia"/>
          <w:sz w:val="21"/>
          <w:szCs w:val="21"/>
        </w:rPr>
      </w:pPr>
      <w:r/>
      <w:bookmarkStart w:id="95" w:name="_Toc88485512"/>
      <w:r>
        <w:rPr>
          <w:rFonts w:hint="eastAsia" w:asciiTheme="minorEastAsia" w:hAnsiTheme="minorEastAsia" w:eastAsiaTheme="minorEastAsia" w:cstheme="minorEastAsia"/>
          <w:sz w:val="21"/>
          <w:szCs w:val="21"/>
        </w:rPr>
        <w:t xml:space="preserve">5.3.4 NO/NOx分析仪连续检测系统</w:t>
      </w:r>
      <w:bookmarkEnd w:id="95"/>
      <w:r>
        <w:rPr>
          <w:rFonts w:hint="eastAsia" w:asciiTheme="minorEastAsia" w:hAnsiTheme="minorEastAsia" w:eastAsiaTheme="minorEastAsia" w:cstheme="minorEastAsia"/>
          <w:sz w:val="21"/>
          <w:szCs w:val="21"/>
        </w:rPr>
        <w:t xml:space="preserve">巡查</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（1）巡查K值和B值是否在正常范围内。</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（2）巡查流量是否与标准流量计相对误差≤±10%。</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（3）仪器响应时间：用多气体动态校准仪配气400PPB，分析仪器5分钟内响应通气80%满量程的90%的气体。</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（4）量程漂移测试：多气体动态校准仪输出稀释80%满量程气体至分析仪器，分析仪器校准时稳定值与多气体动态校准仪实际值的相对误差≤±5%。</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（5）多点校准测试：测试点有：0PPb、50PPb、100PPb、200PPb、300PPb、400PPb。</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（6）盲样考核：用追朔至NIST的进口标准气体对仪器进行盲样巡查，已验证仪器的准确性。</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96" w:name="_Toc88485513"/>
      <w:r>
        <w:rPr>
          <w:rFonts w:hint="eastAsia" w:asciiTheme="minorEastAsia" w:hAnsiTheme="minorEastAsia" w:eastAsiaTheme="minorEastAsia" w:cstheme="minorEastAsia"/>
          <w:sz w:val="21"/>
          <w:szCs w:val="21"/>
        </w:rPr>
        <w:t xml:space="preserve">5.3.5 O</w:t>
      </w:r>
      <w:r>
        <w:rPr>
          <w:rFonts w:hint="eastAsia" w:asciiTheme="minorEastAsia" w:hAnsiTheme="minorEastAsia" w:eastAsiaTheme="minorEastAsia" w:cstheme="minorEastAsia"/>
          <w:sz w:val="21"/>
          <w:szCs w:val="21"/>
          <w:vertAlign w:val="subscript"/>
        </w:rPr>
        <w:t xml:space="preserve">3</w:t>
      </w:r>
      <w:r>
        <w:rPr>
          <w:rFonts w:hint="eastAsia" w:asciiTheme="minorEastAsia" w:hAnsiTheme="minorEastAsia" w:eastAsiaTheme="minorEastAsia" w:cstheme="minorEastAsia"/>
          <w:sz w:val="21"/>
          <w:szCs w:val="21"/>
        </w:rPr>
        <w:t xml:space="preserve">分析仪连续检测系统</w:t>
      </w:r>
      <w:bookmarkEnd w:id="96"/>
      <w:r>
        <w:rPr>
          <w:rFonts w:hint="eastAsia" w:asciiTheme="minorEastAsia" w:hAnsiTheme="minorEastAsia" w:eastAsiaTheme="minorEastAsia" w:cstheme="minorEastAsia"/>
          <w:sz w:val="21"/>
          <w:szCs w:val="21"/>
        </w:rPr>
        <w:t xml:space="preserve">巡查</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（1）巡查K值和B值是否在正常范围内（k：0.85≤K≤1.15，B值不考虑）。</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（2）巡查流量是否与质量流量计±10%。</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（3）仪器响应时间：用多气体动态校准仪配气400PPB，分析仪器5分钟内响应通气80%满量程的90%的气体。</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（4）量程漂移测试：多气体动态校准仪输出稀释80%满量程气体至分析仪器，分析仪器校准时稳定值与与多多气体动态校准与实际至的偏差，国标要求±10PPB。</w:t>
      </w:r>
      <w:r/>
    </w:p>
    <w:p>
      <w:pPr>
        <w:pStyle w:val="1409"/>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（5）多点校准测试：测试点有：0PPb、50PPb、100PPb、200PPb、300PPb、400PPb。</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97" w:name="_Toc88485514"/>
      <w:r>
        <w:rPr>
          <w:rFonts w:hint="eastAsia" w:asciiTheme="minorEastAsia" w:hAnsiTheme="minorEastAsia" w:eastAsiaTheme="minorEastAsia" w:cstheme="minorEastAsia"/>
          <w:sz w:val="21"/>
          <w:szCs w:val="21"/>
        </w:rPr>
        <w:t xml:space="preserve">5.3.6 臭氧专项核查</w:t>
      </w:r>
      <w:bookmarkEnd w:id="97"/>
      <w:r/>
      <w:r/>
    </w:p>
    <w:p>
      <w:pPr>
        <w:ind w:left="400"/>
        <w:spacing w:line="360" w:lineRule="auto"/>
        <w:tabs>
          <w:tab w:val="left" w:pos="567"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A、设备准备</w:t>
      </w:r>
      <w:r/>
    </w:p>
    <w:p>
      <w:pPr>
        <w:ind w:left="400"/>
        <w:spacing w:line="360" w:lineRule="auto"/>
        <w:tabs>
          <w:tab w:val="left" w:pos="567"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 臭氧校准仪</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经过臭氧标准参考光度计（SRP）直接校准或者逐级校准过的臭氧校准仪。</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2）多种气体校准仪</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经过臭氧传递标准校准过的多种气体校准仪。与零气源连接后，能够产生稳定的接近系统上限浓度的臭氧（0.5 μmol/mol或1.0 μmol/mol），能够准确控制进入臭氧发生器的零空气的流量。</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3）空气压缩机</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可以使用环境空气子站的空气压缩机，也可以使用比对实施者单独携带的空气压缩机，能稳定输出压力为20~30psi的气体。</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零气发生装置</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能产生符合分析仪校准程序要求的零气。由核查实施者单独携带至现场，用于现场核查时向传递标准和分析仪通入零气。</w:t>
      </w:r>
      <w:r/>
    </w:p>
    <w:p>
      <w:pPr>
        <w:ind w:left="0" w:firstLine="422"/>
        <w:spacing w:line="360" w:lineRule="auto"/>
        <w:rPr>
          <w:rFonts w:hint="eastAsia" w:asciiTheme="minorEastAsia" w:hAnsiTheme="minorEastAsia" w:eastAsiaTheme="minorEastAsia" w:cstheme="minorEastAsia"/>
          <w:b/>
          <w:bCs/>
          <w:sz w:val="21"/>
          <w:szCs w:val="21"/>
        </w:rPr>
      </w:pPr>
      <w:r/>
      <w:bookmarkStart w:id="98" w:name="_Toc398819104"/>
      <w:r>
        <w:rPr>
          <w:rFonts w:hint="eastAsia" w:asciiTheme="minorEastAsia" w:hAnsiTheme="minorEastAsia" w:eastAsiaTheme="minorEastAsia" w:cstheme="minorEastAsia"/>
          <w:b/>
          <w:bCs/>
          <w:sz w:val="21"/>
          <w:szCs w:val="21"/>
        </w:rPr>
        <w:t xml:space="preserve">B、现场比对</w:t>
      </w:r>
      <w:bookmarkEnd w:id="98"/>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 将臭氧核查标准运输至子站现场，连接好臭氧核查标准和臭氧分析仪等的电线、气体管路和数据传输线。打开电源，开机预热至少2小时。</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2）打开空气压缩机和零气发生装置，调节压力使其稳定输出20~30psi的零空气。</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3）设置臭氧核查标准产生浓度为45 nmol/mol、75 nmol/mol和125 nmol/mol的臭氧，依次通入臭氧分析仪30分钟，仪器自动记录分钟数据。</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4）记录好臭氧核查标准和现场臭氧分析仪的基本信息。</w:t>
      </w:r>
      <w:r/>
    </w:p>
    <w:p>
      <w:pPr>
        <w:ind w:left="0" w:firstLine="422"/>
        <w:spacing w:line="360" w:lineRule="auto"/>
        <w:rPr>
          <w:rFonts w:hint="eastAsia" w:asciiTheme="minorEastAsia" w:hAnsiTheme="minorEastAsia" w:eastAsiaTheme="minorEastAsia" w:cstheme="minorEastAsia"/>
          <w:b/>
          <w:bCs/>
          <w:sz w:val="21"/>
          <w:szCs w:val="21"/>
        </w:rPr>
      </w:pPr>
      <w:r/>
      <w:bookmarkStart w:id="99" w:name="_Toc398819105"/>
      <w:r>
        <w:rPr>
          <w:rFonts w:hint="eastAsia" w:asciiTheme="minorEastAsia" w:hAnsiTheme="minorEastAsia" w:eastAsiaTheme="minorEastAsia" w:cstheme="minorEastAsia"/>
          <w:b/>
          <w:bCs/>
          <w:sz w:val="21"/>
          <w:szCs w:val="21"/>
        </w:rPr>
        <w:t xml:space="preserve">C、结果评价与处理</w:t>
      </w:r>
      <w:bookmarkEnd w:id="99"/>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 通过仪器软件调取臭氧核查标准和臭氧分析仪记录的数据。取每一浓度点最后10分钟的10个分钟数据，以10个分钟数据的平均值作为该浓度点的测定值。</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2）按公式（1）计算每一浓度点核查标准测定值Cs和分析仪测定值Ci的相对误差RE。</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QUOTE </w:instrText>
      </w:r>
      <w:r>
        <w:rPr>
          <w:rFonts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1143635" cy="3810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143635" cy="3810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0.0pt;height:30.0pt;mso-wrap-distance-left:0.0pt;mso-wrap-distance-top:0.0pt;mso-wrap-distance-right:0.0pt;mso-wrap-distance-bottom:0.0pt;" stroked="f">
                <v:path textboxrect="0,0,0,0"/>
                <v:imagedata r:id="rId18" o:title=""/>
              </v:shape>
            </w:pict>
          </mc:Fallback>
        </mc:AlternateContent>
      </w:r>
      <w:r>
        <w:rPr>
          <w:rFonts w:hint="eastAsia" w:asciiTheme="minorEastAsia" w:hAnsiTheme="minorEastAsia" w:eastAsiaTheme="minorEastAsia" w:cstheme="minorEastAsia"/>
          <w:sz w:val="21"/>
          <w:szCs w:val="21"/>
        </w:rPr>
        <w:instrText xml:space="preserve"> </w:instrText>
      </w:r>
      <w:r>
        <w:rPr>
          <w:rFonts w:hint="eastAsia" w:asciiTheme="minorEastAsia" w:hAnsiTheme="minorEastAsia" w:eastAsiaTheme="minorEastAsia" w:cstheme="minorEastAsia"/>
          <w:sz w:val="21"/>
          <w:szCs w:val="21"/>
        </w:rPr>
        <w:fldChar w:fldCharType="separate"/>
      </w:r>
      <w:r>
        <w:rPr>
          <w:rFonts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1219200" cy="4572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19200" cy="4572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6.0pt;height:36.0pt;mso-wrap-distance-left:0.0pt;mso-wrap-distance-top:0.0pt;mso-wrap-distance-right:0.0pt;mso-wrap-distance-bottom:0.0pt;" stroked="f">
                <v:path textboxrect="0,0,0,0"/>
                <v:imagedata r:id="rId18" o:title=""/>
              </v:shape>
            </w:pict>
          </mc:Fallback>
        </mc:AlternateConten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t xml:space="preserve">                           （1）</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3）所有浓度点的相对误差RE均小于±15%，视为分析仪合格；否则视为不合格，不能用于日常监测。</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4）若比对结果显示现场臭氧分析仪不合格，应对点位的臭氧校准仪和分析仪进行巡查与维修，巡查或维修后，应将重新进行量值溯源与传递。</w:t>
      </w:r>
      <w:r/>
    </w:p>
    <w:p>
      <w:pPr>
        <w:ind w:left="0" w:firstLine="422"/>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D、质量保证与质量控制</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次进行现场比对前和比对后，均应将臭氧核查标准与臭氧传递标准进行比对，确保臭氧核查标准的量值在比对核查前后无变化。如果发现核查标准量值在比对核查后发生变化，则本次比对核查数据无效，应对核查标准进行重新量值传递后使用。</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使用经省站溯源后的臭氧校准仪TE49ips分别生成0ppb，100ppb，日常浓度点，400ppb浓度O</w:t>
      </w:r>
      <w:r>
        <w:rPr>
          <w:rFonts w:hint="eastAsia" w:asciiTheme="minorEastAsia" w:hAnsiTheme="minorEastAsia" w:eastAsiaTheme="minorEastAsia" w:cstheme="minorEastAsia"/>
          <w:sz w:val="21"/>
          <w:szCs w:val="21"/>
          <w:vertAlign w:val="subscript"/>
        </w:rPr>
        <w:t xml:space="preserve">3</w:t>
      </w:r>
      <w:r>
        <w:rPr>
          <w:rFonts w:hint="eastAsia" w:asciiTheme="minorEastAsia" w:hAnsiTheme="minorEastAsia" w:eastAsiaTheme="minorEastAsia" w:cstheme="minorEastAsia"/>
          <w:sz w:val="21"/>
          <w:szCs w:val="21"/>
        </w:rPr>
        <w:t xml:space="preserve">传递给TE146i，每点在稳定15min后记录数值。填写“臭氧（O</w:t>
      </w:r>
      <w:r>
        <w:rPr>
          <w:rFonts w:hint="eastAsia" w:asciiTheme="minorEastAsia" w:hAnsiTheme="minorEastAsia" w:eastAsiaTheme="minorEastAsia" w:cstheme="minorEastAsia"/>
          <w:sz w:val="21"/>
          <w:szCs w:val="21"/>
          <w:vertAlign w:val="subscript"/>
        </w:rPr>
        <w:t xml:space="preserve">3</w:t>
      </w:r>
      <w:r>
        <w:rPr>
          <w:rFonts w:hint="eastAsia" w:asciiTheme="minorEastAsia" w:hAnsiTheme="minorEastAsia" w:eastAsiaTheme="minorEastAsia" w:cstheme="minorEastAsia"/>
          <w:sz w:val="21"/>
          <w:szCs w:val="21"/>
        </w:rPr>
        <w:t xml:space="preserve">）专项核查记录表”，并算出相关性。</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0" w:name="_Toc88485515"/>
      <w:r>
        <w:rPr>
          <w:rFonts w:hint="eastAsia" w:asciiTheme="minorEastAsia" w:hAnsiTheme="minorEastAsia" w:eastAsiaTheme="minorEastAsia" w:cstheme="minorEastAsia"/>
          <w:sz w:val="21"/>
          <w:szCs w:val="21"/>
        </w:rPr>
        <w:t xml:space="preserve">5.3.7 颗粒物系统</w:t>
      </w:r>
      <w:bookmarkEnd w:id="100"/>
      <w:r>
        <w:rPr>
          <w:rFonts w:hint="eastAsia" w:asciiTheme="minorEastAsia" w:hAnsiTheme="minorEastAsia" w:eastAsiaTheme="minorEastAsia" w:cstheme="minorEastAsia"/>
          <w:sz w:val="21"/>
          <w:szCs w:val="21"/>
        </w:rPr>
        <w:t xml:space="preserve">巡查</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（1）使用经过中国计量科学研究院计量检定的流量计对仪器进行采样流量、显示流量测试，采样流量相对误差是否±5%以内，显示流量相对误差是否±4%以内；</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（2）PM</w:t>
      </w:r>
      <w:r>
        <w:rPr>
          <w:rFonts w:hint="eastAsia" w:asciiTheme="minorEastAsia" w:hAnsiTheme="minorEastAsia" w:eastAsiaTheme="minorEastAsia" w:cstheme="minorEastAsia"/>
          <w:sz w:val="21"/>
          <w:szCs w:val="21"/>
          <w:vertAlign w:val="subscript"/>
        </w:rPr>
        <w:t xml:space="preserve">10</w:t>
      </w:r>
      <w:r>
        <w:rPr>
          <w:rFonts w:hint="eastAsia" w:asciiTheme="minorEastAsia" w:hAnsiTheme="minorEastAsia" w:eastAsiaTheme="minorEastAsia" w:cstheme="minorEastAsia"/>
          <w:sz w:val="21"/>
          <w:szCs w:val="21"/>
        </w:rPr>
        <w:t xml:space="preserve">检漏是否合格（密封采样口后分析仪显示流量＜1L/min）；</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（3）现场使用设备匹配的原厂校准膜对设备进行校准膜核查，相对误差是否±3%以内。</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1" w:name="_Toc88485516"/>
      <w:r>
        <w:rPr>
          <w:rFonts w:hint="eastAsia" w:asciiTheme="minorEastAsia" w:hAnsiTheme="minorEastAsia" w:eastAsiaTheme="minorEastAsia" w:cstheme="minorEastAsia"/>
          <w:sz w:val="21"/>
          <w:szCs w:val="21"/>
        </w:rPr>
        <w:t xml:space="preserve">5.3.8 气象设备比对</w:t>
      </w:r>
      <w:bookmarkEnd w:id="101"/>
      <w:r>
        <w:rPr>
          <w:rFonts w:hint="eastAsia" w:asciiTheme="minorEastAsia" w:hAnsiTheme="minorEastAsia" w:eastAsiaTheme="minorEastAsia" w:cstheme="minorEastAsia"/>
          <w:sz w:val="21"/>
          <w:szCs w:val="21"/>
        </w:rPr>
        <w:t xml:space="preserve">巡查</w:t>
      </w:r>
      <w:r/>
    </w:p>
    <w:p>
      <w:pPr>
        <w:ind w:left="400"/>
        <w:spacing w:line="360" w:lineRule="auto"/>
        <w:tabs>
          <w:tab w:val="left" w:pos="567"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（1）风向、风速</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通过风向仪及风速仪手工监测现场大气的风向与风速，与站房设备监测数据进行比对，已验证设备的准确性。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（2）大气温度</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将检定过的温度计悬挂值监测站房的传感器旁边，已常温进行比对，记录二者的差值即可。</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（3）相对湿度</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相对湿度的核查方法是：将检定过的干湿球温度计的湿球探头用去离子水湿润，待其稳定后记录读数，并将读数换算成相对是湿度与监测站房数据进行比对。</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（4）大气压</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使用检定过的便携式电子精密气压计现场比对即可。</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2" w:name="_Toc88485520"/>
      <w:r>
        <w:rPr>
          <w:rFonts w:hint="eastAsia" w:asciiTheme="minorEastAsia" w:hAnsiTheme="minorEastAsia" w:eastAsiaTheme="minorEastAsia" w:cstheme="minorEastAsia"/>
          <w:sz w:val="21"/>
          <w:szCs w:val="21"/>
        </w:rPr>
        <w:t xml:space="preserve">5.4质保（QA）巡查目标</w:t>
      </w:r>
      <w:bookmarkEnd w:id="102"/>
      <w:r/>
      <w:r/>
    </w:p>
    <w:tbl>
      <w:tblPr>
        <w:tblStyle w:val="1009"/>
        <w:tblW w:w="9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9"/>
        <w:gridCol w:w="1717"/>
        <w:gridCol w:w="1460"/>
        <w:gridCol w:w="1678"/>
        <w:gridCol w:w="2258"/>
      </w:tblGrid>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核查项目</w:t>
            </w:r>
            <w:r/>
          </w:p>
        </w:tc>
        <w:tc>
          <w:tcPr>
            <w:tcW w:w="1717"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斜率</w:t>
            </w:r>
            <w:r/>
          </w:p>
        </w:tc>
        <w:tc>
          <w:tcPr>
            <w:tcW w:w="1460" w:type="dxa"/>
            <w:vAlign w:val="center"/>
            <w:textDirection w:val="lrTb"/>
            <w:noWrap w:val="false"/>
          </w:tcPr>
          <w:p>
            <w:pPr>
              <w:ind w:left="0"/>
              <w:jc w:val="center"/>
              <w:tabs>
                <w:tab w:val="center" w:pos="622"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截距</w:t>
            </w:r>
            <w:r/>
          </w:p>
        </w:tc>
        <w:tc>
          <w:tcPr>
            <w:tcW w:w="1678"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相关系数</w:t>
            </w:r>
            <w:r/>
          </w:p>
        </w:tc>
        <w:tc>
          <w:tcPr>
            <w:tcW w:w="2258"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准确度</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质量流量控制器（零气）</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firstLine="42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±3%FS</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≧0.995</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质量流量控制器（标气）</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firstLine="42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±3%FS</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≧0.995</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二氧化硫</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0.8—1.2</w:t>
            </w:r>
            <w:r/>
          </w:p>
        </w:tc>
        <w:tc>
          <w:tcPr>
            <w:tcW w:w="1460" w:type="dxa"/>
            <w:vAlign w:val="center"/>
            <w:textDirection w:val="lrTb"/>
            <w:noWrap w:val="false"/>
          </w:tcPr>
          <w:p>
            <w:pPr>
              <w:ind w:firstLine="42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±3%FS</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≧0.995</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一氧化碳</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0.8—1.2</w:t>
            </w:r>
            <w:r/>
          </w:p>
        </w:tc>
        <w:tc>
          <w:tcPr>
            <w:tcW w:w="1460" w:type="dxa"/>
            <w:vAlign w:val="center"/>
            <w:textDirection w:val="lrTb"/>
            <w:noWrap w:val="false"/>
          </w:tcPr>
          <w:p>
            <w:pPr>
              <w:ind w:firstLine="42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±3%FS</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≧0.995</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p>
        </w:tc>
      </w:tr>
      <w:tr>
        <w:trPr>
          <w:jc w:val="center"/>
          <w:trHeight w:val="445"/>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氮氧化物</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0.8—1.2</w:t>
            </w:r>
            <w:r/>
          </w:p>
        </w:tc>
        <w:tc>
          <w:tcPr>
            <w:tcW w:w="1460" w:type="dxa"/>
            <w:vAlign w:val="center"/>
            <w:textDirection w:val="lrTb"/>
            <w:noWrap w:val="false"/>
          </w:tcPr>
          <w:p>
            <w:pPr>
              <w:ind w:firstLine="42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±3%FS</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≧0.995</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p>
        </w:tc>
      </w:tr>
      <w:tr>
        <w:trPr>
          <w:jc w:val="center"/>
          <w:trHeight w:val="90"/>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钼转化率</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firstLine="42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2258" w:type="dxa"/>
            <w:vAlign w:val="center"/>
            <w:textDirection w:val="lrTb"/>
            <w:noWrap w:val="false"/>
          </w:tcPr>
          <w:p>
            <w:pPr>
              <w:ind w:left="0" w:firstLine="63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96%≦CE≦102%</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臭氧</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0.8—1.2</w:t>
            </w:r>
            <w:r/>
          </w:p>
        </w:tc>
        <w:tc>
          <w:tcPr>
            <w:tcW w:w="1460" w:type="dxa"/>
            <w:vAlign w:val="center"/>
            <w:textDirection w:val="lrTb"/>
            <w:noWrap w:val="false"/>
          </w:tcPr>
          <w:p>
            <w:pPr>
              <w:ind w:firstLine="42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±3%FS</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≧0.995</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颗粒物流量</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风向</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风速</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±0.5m/s</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大气温度</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±0.5℃</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相对湿度</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r>
      <w:tr>
        <w:trPr>
          <w:jc w:val="center"/>
        </w:trPr>
        <w:tc>
          <w:tcPr>
            <w:tcW w:w="2129" w:type="dxa"/>
            <w:vAlign w:val="center"/>
            <w:textDirection w:val="lrTb"/>
            <w:noWrap w:val="false"/>
          </w:tcPr>
          <w:p>
            <w:pPr>
              <w:ind w:lef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大气压力计</w:t>
            </w:r>
            <w:r/>
          </w:p>
        </w:tc>
        <w:tc>
          <w:tcPr>
            <w:tcW w:w="1717"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460"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1678" w:type="dxa"/>
            <w:vAlign w:val="center"/>
            <w:textDirection w:val="lrTb"/>
            <w:noWrap w:val="false"/>
          </w:tcPr>
          <w:p>
            <w:pPr>
              <w:ind w:left="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N/A</w:t>
            </w:r>
            <w:r/>
          </w:p>
        </w:tc>
        <w:tc>
          <w:tcPr>
            <w:tcW w:w="2258" w:type="dxa"/>
            <w:vAlign w:val="center"/>
            <w:textDirection w:val="lrTb"/>
            <w:noWrap w:val="false"/>
          </w:tcPr>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±5mmHg</w:t>
            </w:r>
            <w:r/>
          </w:p>
        </w:tc>
      </w:tr>
    </w:tbl>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3" w:name="_Toc88485521"/>
      <w:r>
        <w:rPr>
          <w:rFonts w:hint="eastAsia" w:asciiTheme="minorEastAsia" w:hAnsiTheme="minorEastAsia" w:eastAsiaTheme="minorEastAsia" w:cstheme="minorEastAsia"/>
          <w:sz w:val="21"/>
          <w:szCs w:val="21"/>
        </w:rPr>
        <w:t xml:space="preserve">5.5数据质量监督</w:t>
      </w:r>
      <w:bookmarkEnd w:id="103"/>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交供应商需按照采购人提供的数据质量监督巡查要求（包括巡查项目、表格、巡查计划、合格标准等各项与巡查工作相关的要求），每月制定巡查计划，并携带符合采购人的巡查设备开展数据质量监督巡查工作，使用现场记录表格记录巡查结果，并及时对数据质量监督巡查结果进行审核。成交供应商每年覆盖服务范围中的全部点位，并按照采购人要求每年额外增加10%的点位作为“回头看”抽查点位。数据质量监督巡查项目包括但不限于多浓度点NO、NO</w:t>
      </w:r>
      <w:r>
        <w:rPr>
          <w:rFonts w:hint="eastAsia" w:asciiTheme="minorEastAsia" w:hAnsiTheme="minorEastAsia" w:eastAsiaTheme="minorEastAsia" w:cstheme="minorEastAsia"/>
          <w:sz w:val="21"/>
          <w:szCs w:val="21"/>
          <w:vertAlign w:val="subscript"/>
        </w:rPr>
        <w:t xml:space="preserve">2</w:t>
      </w:r>
      <w:r>
        <w:rPr>
          <w:rFonts w:hint="eastAsia" w:asciiTheme="minorEastAsia" w:hAnsiTheme="minorEastAsia" w:eastAsiaTheme="minorEastAsia" w:cstheme="minorEastAsia"/>
          <w:sz w:val="21"/>
          <w:szCs w:val="21"/>
        </w:rPr>
        <w:t xml:space="preserve">、SO</w:t>
      </w:r>
      <w:r>
        <w:rPr>
          <w:rFonts w:hint="eastAsia" w:asciiTheme="minorEastAsia" w:hAnsiTheme="minorEastAsia" w:eastAsiaTheme="minorEastAsia" w:cstheme="minorEastAsia"/>
          <w:sz w:val="21"/>
          <w:szCs w:val="21"/>
          <w:vertAlign w:val="subscript"/>
        </w:rPr>
        <w:t xml:space="preserve">2</w:t>
      </w:r>
      <w:r>
        <w:rPr>
          <w:rFonts w:hint="eastAsia" w:asciiTheme="minorEastAsia" w:hAnsiTheme="minorEastAsia" w:eastAsiaTheme="minorEastAsia" w:cstheme="minorEastAsia"/>
          <w:sz w:val="21"/>
          <w:szCs w:val="21"/>
        </w:rPr>
        <w:t xml:space="preserve">、CO、O</w:t>
      </w:r>
      <w:r>
        <w:rPr>
          <w:rFonts w:hint="eastAsia" w:asciiTheme="minorEastAsia" w:hAnsiTheme="minorEastAsia" w:eastAsiaTheme="minorEastAsia" w:cstheme="minorEastAsia"/>
          <w:sz w:val="21"/>
          <w:szCs w:val="21"/>
          <w:vertAlign w:val="subscript"/>
        </w:rPr>
        <w:t xml:space="preserve">3</w:t>
      </w:r>
      <w:r>
        <w:rPr>
          <w:rFonts w:hint="eastAsia" w:asciiTheme="minorEastAsia" w:hAnsiTheme="minorEastAsia" w:eastAsiaTheme="minorEastAsia" w:cstheme="minorEastAsia"/>
          <w:sz w:val="21"/>
          <w:szCs w:val="21"/>
        </w:rPr>
        <w:t xml:space="preserve">自动监测系统的准确性、PM</w:t>
      </w:r>
      <w:r>
        <w:rPr>
          <w:rFonts w:hint="eastAsia" w:asciiTheme="minorEastAsia" w:hAnsiTheme="minorEastAsia" w:eastAsiaTheme="minorEastAsia" w:cstheme="minorEastAsia"/>
          <w:sz w:val="21"/>
          <w:szCs w:val="21"/>
          <w:vertAlign w:val="subscript"/>
        </w:rPr>
        <w:t xml:space="preserve">2.5</w:t>
      </w:r>
      <w:r>
        <w:rPr>
          <w:rFonts w:hint="eastAsia" w:asciiTheme="minorEastAsia" w:hAnsiTheme="minorEastAsia" w:eastAsiaTheme="minorEastAsia" w:cstheme="minorEastAsia"/>
          <w:sz w:val="21"/>
          <w:szCs w:val="21"/>
        </w:rPr>
        <w:t xml:space="preserve">和PM</w:t>
      </w:r>
      <w:r>
        <w:rPr>
          <w:rFonts w:hint="eastAsia" w:asciiTheme="minorEastAsia" w:hAnsiTheme="minorEastAsia" w:eastAsiaTheme="minorEastAsia" w:cstheme="minorEastAsia"/>
          <w:sz w:val="21"/>
          <w:szCs w:val="21"/>
          <w:vertAlign w:val="subscript"/>
        </w:rPr>
        <w:t xml:space="preserve">10</w:t>
      </w:r>
      <w:r>
        <w:rPr>
          <w:rFonts w:hint="eastAsia" w:asciiTheme="minorEastAsia" w:hAnsiTheme="minorEastAsia" w:eastAsiaTheme="minorEastAsia" w:cstheme="minorEastAsia"/>
          <w:sz w:val="21"/>
          <w:szCs w:val="21"/>
        </w:rPr>
        <w:t xml:space="preserve">切割流量和显示流量的准确性、PM</w:t>
      </w:r>
      <w:r>
        <w:rPr>
          <w:rFonts w:hint="eastAsia" w:asciiTheme="minorEastAsia" w:hAnsiTheme="minorEastAsia" w:eastAsiaTheme="minorEastAsia" w:cstheme="minorEastAsia"/>
          <w:sz w:val="21"/>
          <w:szCs w:val="21"/>
          <w:vertAlign w:val="subscript"/>
        </w:rPr>
        <w:t xml:space="preserve">2.5</w:t>
      </w:r>
      <w:r>
        <w:rPr>
          <w:rFonts w:hint="eastAsia" w:asciiTheme="minorEastAsia" w:hAnsiTheme="minorEastAsia" w:eastAsiaTheme="minorEastAsia" w:cstheme="minorEastAsia"/>
          <w:sz w:val="21"/>
          <w:szCs w:val="21"/>
        </w:rPr>
        <w:t xml:space="preserve">和PM</w:t>
      </w:r>
      <w:r>
        <w:rPr>
          <w:rFonts w:hint="eastAsia" w:asciiTheme="minorEastAsia" w:hAnsiTheme="minorEastAsia" w:eastAsiaTheme="minorEastAsia" w:cstheme="minorEastAsia"/>
          <w:sz w:val="21"/>
          <w:szCs w:val="21"/>
          <w:vertAlign w:val="subscript"/>
        </w:rPr>
        <w:t xml:space="preserve">10</w:t>
      </w:r>
      <w:r>
        <w:rPr>
          <w:rFonts w:hint="eastAsia" w:asciiTheme="minorEastAsia" w:hAnsiTheme="minorEastAsia" w:eastAsiaTheme="minorEastAsia" w:cstheme="minorEastAsia"/>
          <w:sz w:val="21"/>
          <w:szCs w:val="21"/>
        </w:rPr>
        <w:t xml:space="preserve">灵敏系数的准确性等。</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成交供应商需对数据质量监督巡查结果进行审核，及时发现异常巡查结果，并告知采购人。成交供应商对巡查结果和巡查质量负全部责任。</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4" w:name="_Toc88485522"/>
      <w:r>
        <w:rPr>
          <w:rFonts w:hint="eastAsia" w:asciiTheme="minorEastAsia" w:hAnsiTheme="minorEastAsia" w:eastAsiaTheme="minorEastAsia" w:cstheme="minorEastAsia"/>
          <w:sz w:val="21"/>
          <w:szCs w:val="21"/>
        </w:rPr>
        <w:t xml:space="preserve">5.6数据审核</w:t>
      </w:r>
      <w:bookmarkEnd w:id="104"/>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交供应商需在每日16:00前对前一日全部监测数据进行日审核，每周一11:00前对前一周全部监测数据进行周复审，每月5日11:00前对前一个月全部监测数据进行月审核，并在以上时间节点之前完成审核报告上报采购人。</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5" w:name="_Toc88485523"/>
      <w:r>
        <w:rPr>
          <w:rFonts w:hint="eastAsia" w:asciiTheme="minorEastAsia" w:hAnsiTheme="minorEastAsia" w:eastAsiaTheme="minorEastAsia" w:cstheme="minorEastAsia"/>
          <w:sz w:val="21"/>
          <w:szCs w:val="21"/>
        </w:rPr>
        <w:t xml:space="preserve">5.7异常数据</w:t>
      </w:r>
      <w:bookmarkEnd w:id="105"/>
      <w:r>
        <w:rPr>
          <w:rFonts w:hint="eastAsia" w:asciiTheme="minorEastAsia" w:hAnsiTheme="minorEastAsia" w:eastAsiaTheme="minorEastAsia" w:cstheme="minorEastAsia"/>
          <w:sz w:val="21"/>
          <w:szCs w:val="21"/>
        </w:rPr>
        <w:t xml:space="preserve">巡查</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交供应商需根据采购人在数据审核等工作中发现的服务范围点位异常监测数据，开展异常数据巡查，并于3天内提交初步数据异常原因，15天内提交数据异常分析报告，并在报告中详细阐明异常原因和异常时段。异常数据巡查内容包括但不限于：</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（1）运维记录巡查（调取平台运维记录，核查其是否符合要求）；</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（2）重要仪器参数变化情况巡查（调取参数记录，核查其是否符合要求）；</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（3）站房周边环境巡查（现场巡查，拍照）；</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（4）现场质控巡查，根据异常项目，携带相关质控设备开展现场巡查（质控设备性能需确认合格，并详细记录巡查结果）；</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（5）如以上巡查工作不足以说明异常数据原因，应开展联机比对核查，核实监测数据是否合格，联机比对时间每站次不得少于5天。</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数据异常巡查报告原则上需明确是否存在数据异常、数据异常时段和数据异常原因，采购人定期对异常数据巡查报告质量进行巡查，对不合格报告进行处罚。</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6" w:name="_Toc88485524"/>
      <w:r>
        <w:rPr>
          <w:rFonts w:hint="eastAsia" w:asciiTheme="minorEastAsia" w:hAnsiTheme="minorEastAsia" w:eastAsiaTheme="minorEastAsia" w:cstheme="minorEastAsia"/>
          <w:sz w:val="21"/>
          <w:szCs w:val="21"/>
        </w:rPr>
        <w:t xml:space="preserve">5.8双随机</w:t>
      </w:r>
      <w:bookmarkEnd w:id="106"/>
      <w:r>
        <w:rPr>
          <w:rFonts w:hint="eastAsia" w:asciiTheme="minorEastAsia" w:hAnsiTheme="minorEastAsia" w:eastAsiaTheme="minorEastAsia" w:cstheme="minorEastAsia"/>
          <w:sz w:val="21"/>
          <w:szCs w:val="21"/>
        </w:rPr>
        <w:t xml:space="preserve">巡查</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交供应商需根据采购人在数据审核、网络巡查过程中发现的异常数据点位，及时计划、开展双随机巡查，双随机巡查需在采购人下达双随机巡查任务后2日内开展（或根据采购人指定的时间），巡查过程中，及时向采购人报告巡查发现的人为干扰监测数据问题或严重数据质量问题，巡查完成后2日内（或根据采购人指定的时间）提交双随机巡查报告。双随机巡查包括但不限于：</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（1）发现或怀疑数据异常的点位；</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（2）重点乡镇等运维单位怀疑可能存在人为干扰监测数据的点位；</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（3）飞行巡查；</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（4）使用备机超过30天时；</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（5）设备因故停机超过3天时；</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（6）设备更新后；</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（7）站房迁移后；</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（8）进行可能影响校准结果的维修或维护后；</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（9）站房周边环境调整后；</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（10）设县（市、区）生态环境局提出异议；</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（11）根据国家、省、市要求而组织的专项巡查；</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（12）其他临时性巡查。</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7" w:name="_Toc88485525"/>
      <w:r>
        <w:rPr>
          <w:rFonts w:hint="eastAsia" w:asciiTheme="minorEastAsia" w:hAnsiTheme="minorEastAsia" w:eastAsiaTheme="minorEastAsia" w:cstheme="minorEastAsia"/>
          <w:sz w:val="21"/>
          <w:szCs w:val="21"/>
        </w:rPr>
        <w:t xml:space="preserve">5.9颗粒物比对</w:t>
      </w:r>
      <w:bookmarkEnd w:id="107"/>
      <w:r>
        <w:rPr>
          <w:rFonts w:hint="eastAsia" w:asciiTheme="minorEastAsia" w:hAnsiTheme="minorEastAsia" w:eastAsiaTheme="minorEastAsia" w:cstheme="minorEastAsia"/>
          <w:sz w:val="21"/>
          <w:szCs w:val="21"/>
        </w:rPr>
        <w:t xml:space="preserve">巡查</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颗粒物比对任务根据全年数据偏高的站点进行设备比对抽查（抽查总量可为总站点数的25%，采用两台便携式设备比对的模式）或采购人对站点数据提出疑问时，质控方按甲方需求对该站点进行数据比对核查。</w:t>
      </w:r>
      <w:r/>
    </w:p>
    <w:p>
      <w:pPr>
        <w:ind w:left="400"/>
        <w:spacing w:line="360" w:lineRule="auto"/>
        <w:tabs>
          <w:tab w:val="left" w:pos="567" w:leader="none"/>
        </w:tabs>
        <w:rPr>
          <w:rFonts w:hint="eastAsia" w:asciiTheme="minorEastAsia" w:hAnsiTheme="minorEastAsia" w:eastAsiaTheme="minorEastAsia" w:cstheme="minorEastAsia"/>
          <w:sz w:val="21"/>
          <w:szCs w:val="21"/>
        </w:rPr>
      </w:pPr>
      <w:r/>
      <w:bookmarkStart w:id="108" w:name="_Toc88485526"/>
      <w:r>
        <w:rPr>
          <w:rFonts w:hint="eastAsia" w:asciiTheme="minorEastAsia" w:hAnsiTheme="minorEastAsia" w:eastAsiaTheme="minorEastAsia" w:cstheme="minorEastAsia"/>
          <w:sz w:val="21"/>
          <w:szCs w:val="21"/>
        </w:rPr>
        <w:t xml:space="preserve">5.10报告编写要求</w:t>
      </w:r>
      <w:bookmarkEnd w:id="108"/>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（1）年度巡查报告，年度巡查完毕后一个月内，成交供应商应根据一个站点年内多次巡查的结果，进行站点巡查报告的汇总，并对该站点巡查的结果进行小结。</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（2）季度查核报告，每季度巡查完毕后，应于下季度首月15日前汇总各站点的巡查结果，进行统计与汇总，形成专项报告，并对运维中出现的问题进行总结，对核查的方式方法的改进与改动提出建议。</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（3）月度查核报告，每月巡查完毕后，应对已完成巡查子站的巡查结果，进行统计与汇总，并对运维中出现的问题进行总结，巡查完成后5个工作日内提交。</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（4）根据年度巡查的结果，向采购人提交空气自动监测运维质量品质改善建议书，提出运维方运维工作改善建议、运维品质改善管理建议。</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（六）质控工作考核</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苏州市生态环境局将根据前述工作要求对质控公司进行考核评分，根据考核情况按得分比例支付，具体考评付费办法见附件。</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（七）安全责任</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成交单位应对项目组成员做好安全培训，在项目实施过程中应注意人员和财产安全，如造成相关人员安全和财产损失问题的，一律由成交单位全权承担负责，采购单位不承担任何责任。</w:t>
      </w:r>
      <w:r/>
    </w:p>
    <w:p>
      <w:pPr>
        <w:ind w:left="400"/>
        <w:spacing w:line="360" w:lineRule="auto"/>
        <w:tabs>
          <w:tab w:val="left" w:pos="567"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（八）</w:t>
      </w:r>
      <w:r>
        <w:rPr>
          <w:rFonts w:hint="eastAsia" w:asciiTheme="minorEastAsia" w:hAnsiTheme="minorEastAsia" w:eastAsiaTheme="minorEastAsia" w:cstheme="minorEastAsia"/>
          <w:b/>
          <w:sz w:val="21"/>
          <w:szCs w:val="21"/>
        </w:rPr>
        <w:t xml:space="preserve">其他综合说明</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1.服务期限：2026年2月1日至2027年1月31日（具体以合同签订时间为准）。</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2.服务地点：苏州市范围内共计89个市控乡镇站点。具体点位成交后由采购人提供。</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3.供应商必须说明其是否响应采购文件中提出的全部服务内容与要求，如果其中某些条款不响应时，必须在文件中逐条列出。</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4.投标供应商成交后提供服务均为按国家规格条例的合格正规服务、符合规范要求。</w:t>
      </w:r>
      <w:r/>
    </w:p>
    <w:p>
      <w:pPr>
        <w:ind w:left="0" w:firstLine="420"/>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5.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更正，发生的费用由供应商负责。</w:t>
      </w:r>
      <w:r/>
    </w:p>
    <w:p>
      <w:pPr>
        <w:ind w:left="0"/>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四、响应说明</w:t>
      </w:r>
      <w:r/>
    </w:p>
    <w:p>
      <w:pPr>
        <w:pStyle w:val="1054"/>
        <w:ind w:firstLine="42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供应商须在其响应文件中提供如下证明资料，缺失、不符、失效或不提供者将视为非实质性响应而被拒绝，具体包括：</w:t>
      </w:r>
      <w:r/>
    </w:p>
    <w:p>
      <w:pPr>
        <w:pStyle w:val="1054"/>
        <w:ind w:left="400" w:firstLine="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1.具有独立承担民事责任的能力证明，如供应商属于法人或者其他组织的则须提供营业执照等证明文件，如供应商属于自然人的则须提供身份证明。</w:t>
      </w:r>
      <w:r/>
    </w:p>
    <w:p>
      <w:pPr>
        <w:pStyle w:val="1054"/>
        <w:ind w:left="400" w:firstLine="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2.具有良好的商业信誉和健全的财务会计制度证明，包括：提供2022年度经审计的财务报告或基本开户银行在本年度内出具的资信证明。</w:t>
      </w:r>
      <w:r/>
    </w:p>
    <w:p>
      <w:pPr>
        <w:pStyle w:val="1054"/>
        <w:ind w:left="400" w:firstLine="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3.履行合同所必备的设备和专业技术能力的证明资料或承诺，企业法人性质的政府采购供应商须在经工商管理部门核准登记注册的经营范围内参与经营活动。</w:t>
      </w:r>
      <w:r/>
    </w:p>
    <w:p>
      <w:pPr>
        <w:pStyle w:val="1054"/>
        <w:ind w:left="400" w:firstLine="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有依法缴纳税收和社会保障资金的良好记录，包括：税务登记证（如有）和上一税收申报日缴纳增值税或企业所得税的凭据，社会保险登记证（如有）和上一社保申报日缴纳的社会保险的凭据（专用收据或社会保险缴纳清单）。如为依法免税或不需要缴纳社会保障资金的则须提供对应证明资料。</w:t>
      </w:r>
      <w:r/>
    </w:p>
    <w:p>
      <w:pPr>
        <w:pStyle w:val="1054"/>
        <w:ind w:left="400" w:firstLine="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5.参加本次政府采购活动前三年内在经营活动中没有重大违法记录的书面声明函。</w:t>
      </w:r>
      <w:r/>
    </w:p>
    <w:p>
      <w:pPr>
        <w:pStyle w:val="1054"/>
        <w:numPr>
          <w:ilvl w:val="0"/>
          <w:numId w:val="2"/>
        </w:numPr>
        <w:ind w:firstLine="422"/>
        <w:spacing w:before="0" w:after="0"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综合要求：</w:t>
      </w:r>
      <w:r/>
    </w:p>
    <w:p>
      <w:pPr>
        <w:pStyle w:val="1054"/>
        <w:ind w:left="14" w:right="17" w:firstLine="42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1.采购文件提出的是最低限度的要求，并未对一切细节作出规定，也未充分引述全部有关标准和规范的条文，供应商所提供的标的物符合我国最新颁布的与之相关的质量技术规范与标准。</w:t>
      </w:r>
      <w:r/>
    </w:p>
    <w:p>
      <w:pPr>
        <w:pStyle w:val="1054"/>
        <w:ind w:left="14" w:right="17" w:firstLine="42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2.响应文件须如实进行响应，量化指标必须列明具体数值。供应商在其响应文件中对于采购文件要求提供的货物或服务情况均须进行完整的阐述和说明。</w:t>
      </w:r>
      <w:r/>
    </w:p>
    <w:p>
      <w:pPr>
        <w:pStyle w:val="1054"/>
        <w:ind w:left="14" w:right="17" w:firstLine="42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pStyle w:val="1054"/>
        <w:ind w:left="14" w:right="17" w:firstLine="42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4.供应商须在响应报价中对所要采购的全部内容进行报价，只投其中部分内容者，其响应文件将被拒绝，采购人除支付本次采购项目的成交金额外不再承担其他任何费用。</w:t>
      </w:r>
      <w:r/>
    </w:p>
    <w:p>
      <w:pPr>
        <w:pStyle w:val="1054"/>
        <w:ind w:left="14" w:right="17" w:firstLine="42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供应商须在其响应文件中提供一份验收办法，但此标准不得对抗相关部门的验收和采购文件要求，未提供验收办法的响应文件将被拒绝。验收时采购人有权委托第三方进行各项检测，如不符合采购要求则不予通过验收。供应商对货物或服务缺陷不予更正，采购人有权另请其他单位更正，所发生的费用由供应商承担。</w:t>
      </w:r>
      <w:r/>
    </w:p>
    <w:p>
      <w:pPr>
        <w:pStyle w:val="1054"/>
        <w:ind w:left="14" w:right="17" w:firstLine="420"/>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6.凡涉及本项目的补充说明和修改，均以苏州市政府采购网上发布的信息为准。</w:t>
      </w:r>
      <w:r/>
    </w:p>
    <w:p>
      <w:pPr>
        <w:pStyle w:val="1056"/>
        <w:ind w:left="0" w:firstLine="0"/>
      </w:pPr>
      <w:r/>
      <w:r/>
    </w:p>
    <w:p>
      <w:pPr>
        <w:rPr>
          <w:b/>
          <w:sz w:val="44"/>
          <w:szCs w:val="44"/>
        </w:rPr>
      </w:pPr>
      <w:r>
        <w:rPr>
          <w:rFonts w:hint="eastAsia"/>
          <w:b/>
          <w:sz w:val="44"/>
          <w:szCs w:val="44"/>
        </w:rPr>
        <w:br w:type="page" w:clear="all"/>
      </w:r>
      <w:r/>
    </w:p>
    <w:p>
      <w:pPr>
        <w:pStyle w:val="999"/>
        <w:ind w:left="0" w:firstLine="0"/>
        <w:jc w:val="center"/>
        <w:spacing w:line="360" w:lineRule="auto"/>
        <w:rPr>
          <w:b/>
          <w:sz w:val="44"/>
          <w:szCs w:val="44"/>
        </w:rPr>
      </w:pPr>
      <w:r>
        <w:rPr>
          <w:rFonts w:hint="eastAsia"/>
          <w:b/>
          <w:sz w:val="44"/>
          <w:szCs w:val="44"/>
        </w:rPr>
        <w:t xml:space="preserve">第五章 </w:t>
      </w:r>
      <w:bookmarkStart w:id="109" w:name="合同的特殊条款"/>
      <w:r/>
      <w:bookmarkEnd w:id="109"/>
      <w:r>
        <w:rPr>
          <w:rFonts w:hint="eastAsia"/>
          <w:b/>
          <w:sz w:val="44"/>
          <w:szCs w:val="44"/>
        </w:rPr>
        <w:t xml:space="preserve">合同及主要条款</w:t>
      </w:r>
      <w:bookmarkEnd w:id="47"/>
      <w:r/>
      <w:bookmarkEnd w:id="48"/>
      <w:r/>
      <w:bookmarkEnd w:id="49"/>
      <w:r/>
      <w:bookmarkEnd w:id="50"/>
      <w:r/>
      <w:bookmarkEnd w:id="51"/>
      <w:r/>
      <w:bookmarkEnd w:id="52"/>
      <w:r/>
      <w:bookmarkEnd w:id="53"/>
      <w:r/>
      <w:bookmarkEnd w:id="54"/>
      <w:r/>
      <w:r/>
    </w:p>
    <w:p>
      <w:pPr>
        <w:ind w:left="0"/>
        <w:jc w:val="center"/>
        <w:rPr>
          <w:b/>
          <w:color w:val="000000" w:themeColor="text1"/>
          <w:sz w:val="32"/>
          <w:szCs w:val="32"/>
          <w14:textFill>
            <w14:solidFill>
              <w14:schemeClr w14:val="tx1"/>
            </w14:solidFill>
          </w14:textFill>
        </w:rPr>
      </w:pPr>
      <w:r/>
      <w:bookmarkStart w:id="110" w:name="_Toc8564"/>
      <w:r/>
      <w:bookmarkStart w:id="111" w:name="_Toc58248884"/>
      <w:r/>
      <w:bookmarkStart w:id="112" w:name="_Toc57376410"/>
      <w:r/>
      <w:bookmarkStart w:id="113" w:name="_Toc32730"/>
      <w:r/>
      <w:bookmarkStart w:id="114" w:name="_Toc27667"/>
      <w:r>
        <w:rPr>
          <w:rFonts w:hint="eastAsia"/>
          <w:b/>
          <w:color w:val="000000" w:themeColor="text1"/>
          <w:sz w:val="32"/>
          <w:szCs w:val="32"/>
          <w14:textFill>
            <w14:solidFill>
              <w14:schemeClr w14:val="tx1"/>
            </w14:solidFill>
          </w14:textFill>
        </w:rPr>
        <w:t xml:space="preserve">政府采购合同</w:t>
      </w:r>
      <w:r/>
    </w:p>
    <w:p>
      <w:pPr>
        <w:ind w:left="0" w:firstLine="422"/>
        <w:jc w:val="left"/>
        <w:spacing w:line="360" w:lineRule="auto"/>
        <w:rPr>
          <w:rFonts w:hint="eastAsia" w:ascii="宋体" w:hAnsi="宋体"/>
          <w:b/>
          <w:color w:val="000000" w:themeColor="text1"/>
          <w:sz w:val="21"/>
          <w14:textFill>
            <w14:solidFill>
              <w14:schemeClr w14:val="tx1"/>
            </w14:solidFill>
          </w14:textFill>
        </w:rPr>
      </w:pPr>
      <w:r>
        <w:rPr>
          <w:rFonts w:hint="eastAsia" w:ascii="宋体" w:hAnsi="宋体"/>
          <w:b/>
          <w:color w:val="000000" w:themeColor="text1"/>
          <w:sz w:val="21"/>
          <w14:textFill>
            <w14:solidFill>
              <w14:schemeClr w14:val="tx1"/>
            </w14:solidFill>
          </w14:textFill>
        </w:rPr>
        <w:t xml:space="preserve">项目名称：2026年市控空气站六参数数据质控审核辅助服务</w:t>
      </w:r>
      <w:r/>
    </w:p>
    <w:p>
      <w:pPr>
        <w:ind w:left="0" w:firstLine="422"/>
        <w:jc w:val="left"/>
        <w:spacing w:line="360" w:lineRule="auto"/>
        <w:rPr>
          <w:rFonts w:hint="eastAsia" w:ascii="宋体" w:hAnsi="宋体" w:eastAsia="宋体"/>
          <w:b/>
          <w:color w:val="000000" w:themeColor="text1"/>
          <w:sz w:val="21"/>
          <w:lang w:eastAsia="zh-CN"/>
          <w14:textFill>
            <w14:solidFill>
              <w14:schemeClr w14:val="tx1"/>
            </w14:solidFill>
          </w14:textFill>
        </w:rPr>
      </w:pPr>
      <w:r>
        <w:rPr>
          <w:rFonts w:hint="eastAsia" w:ascii="宋体" w:hAnsi="宋体"/>
          <w:b/>
          <w:color w:val="000000" w:themeColor="text1"/>
          <w:sz w:val="21"/>
          <w14:textFill>
            <w14:solidFill>
              <w14:schemeClr w14:val="tx1"/>
            </w14:solidFill>
          </w14:textFill>
        </w:rPr>
        <w:t xml:space="preserve">项目编号：</w:t>
      </w:r>
      <w:r>
        <w:rPr>
          <w:rFonts w:hint="eastAsia" w:ascii="宋体" w:hAnsi="宋体"/>
          <w:b/>
          <w:color w:val="000000" w:themeColor="text1"/>
          <w:sz w:val="21"/>
          <w:lang w:eastAsia="zh-CN"/>
          <w14:textFill>
            <w14:solidFill>
              <w14:schemeClr w14:val="tx1"/>
            </w14:solidFill>
          </w14:textFill>
        </w:rPr>
        <w:t xml:space="preserve">JSZC-320500-SZSC-C2025-0023</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甲方： 苏州市生态环境局</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联系人：</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联系电话：</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乙方：</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联系人：</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联系电话：</w:t>
      </w:r>
      <w:r/>
    </w:p>
    <w:p>
      <w:pPr>
        <w:pStyle w:val="1024"/>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根据《民法典》有关规定，为明确采购单位（甲方）和供应单位（乙方）购销过程中的权利、义务和经济责任，经双方友好协商，签订以下条款，共同遵守。</w:t>
      </w:r>
      <w:r/>
    </w:p>
    <w:p>
      <w:pPr>
        <w:ind w:left="0" w:firstLine="422"/>
        <w:spacing w:line="360" w:lineRule="auto"/>
        <w:rPr>
          <w:rFonts w:hint="eastAsia" w:asciiTheme="majorEastAsia" w:hAnsiTheme="majorEastAsia" w:eastAsiaTheme="majorEastAsia"/>
          <w:b/>
          <w:bCs/>
          <w:color w:val="000000" w:themeColor="text1"/>
          <w:sz w:val="21"/>
          <w:szCs w:val="21"/>
          <w14:textFill>
            <w14:solidFill>
              <w14:schemeClr w14:val="tx1"/>
            </w14:solidFill>
          </w14:textFill>
        </w:rPr>
      </w:pPr>
      <w:r>
        <w:rPr>
          <w:rFonts w:hint="eastAsia" w:asciiTheme="majorEastAsia" w:hAnsiTheme="majorEastAsia" w:eastAsiaTheme="majorEastAsia"/>
          <w:b/>
          <w:bCs/>
          <w:color w:val="000000" w:themeColor="text1"/>
          <w:sz w:val="21"/>
          <w:szCs w:val="21"/>
          <w14:textFill>
            <w14:solidFill>
              <w14:schemeClr w14:val="tx1"/>
            </w14:solidFill>
          </w14:textFill>
        </w:rPr>
        <w:t xml:space="preserve">一、下列文件为本合同不可分割部分：</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①成交通知书；</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②磋商文件； </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③乙方成交的响应文件；</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④乙方在采购过程中所作的其它承诺、声明、书面澄清等。</w:t>
      </w:r>
      <w:r/>
    </w:p>
    <w:p>
      <w:pPr>
        <w:numPr>
          <w:ilvl w:val="0"/>
          <w:numId w:val="3"/>
        </w:numPr>
        <w:ind w:left="0" w:firstLine="422"/>
        <w:spacing w:line="360" w:lineRule="auto"/>
        <w:widowControl w:val="off"/>
        <w:rPr>
          <w:rFonts w:hint="eastAsia" w:asciiTheme="majorEastAsia" w:hAnsiTheme="majorEastAsia" w:eastAsiaTheme="majorEastAsia"/>
          <w:b/>
          <w:color w:val="000000" w:themeColor="text1"/>
          <w:sz w:val="21"/>
          <w:szCs w:val="21"/>
          <w14:textFill>
            <w14:solidFill>
              <w14:schemeClr w14:val="tx1"/>
            </w14:solidFill>
          </w14:textFill>
        </w:rPr>
      </w:pPr>
      <w:r>
        <w:rPr>
          <w:rFonts w:hint="eastAsia" w:asciiTheme="majorEastAsia" w:hAnsiTheme="majorEastAsia" w:eastAsiaTheme="majorEastAsia"/>
          <w:b/>
          <w:color w:val="000000" w:themeColor="text1"/>
          <w:sz w:val="21"/>
          <w:szCs w:val="21"/>
          <w14:textFill>
            <w14:solidFill>
              <w14:schemeClr w14:val="tx1"/>
            </w14:solidFill>
          </w14:textFill>
        </w:rPr>
        <w:t xml:space="preserve">合同内容：</w:t>
      </w:r>
      <w:r/>
    </w:p>
    <w:p>
      <w:pPr>
        <w:ind w:left="420"/>
        <w:spacing w:line="360" w:lineRule="auto"/>
        <w:widowControl w:val="off"/>
        <w:rPr>
          <w:rFonts w:hint="eastAsia" w:ascii="宋体" w:hAnsi="宋体"/>
          <w:bCs/>
          <w:color w:val="000000" w:themeColor="text1"/>
          <w:sz w:val="21"/>
          <w:u w:val="single"/>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1.合同目的：甲方委托乙方完成</w:t>
      </w:r>
      <w:r>
        <w:rPr>
          <w:rFonts w:hint="eastAsia" w:ascii="宋体" w:hAnsi="宋体" w:eastAsiaTheme="majorEastAsia"/>
          <w:bCs/>
          <w:color w:val="000000" w:themeColor="text1"/>
          <w:sz w:val="21"/>
          <w:u w:val="single"/>
          <w14:textFill>
            <w14:solidFill>
              <w14:schemeClr w14:val="tx1"/>
            </w14:solidFill>
          </w14:textFill>
        </w:rPr>
        <w:t xml:space="preserve">2026年市控空气站六参数数据质控审核辅助服务</w:t>
      </w:r>
      <w:r>
        <w:rPr>
          <w:rFonts w:hint="eastAsia" w:ascii="宋体" w:hAnsi="宋体"/>
          <w:bCs/>
          <w:color w:val="000000" w:themeColor="text1"/>
          <w:sz w:val="21"/>
          <w:u w:val="single"/>
          <w14:textFill>
            <w14:solidFill>
              <w14:schemeClr w14:val="tx1"/>
            </w14:solidFill>
          </w14:textFill>
        </w:rPr>
        <w:t xml:space="preserve">。</w:t>
      </w:r>
      <w:r/>
    </w:p>
    <w:p>
      <w:pPr>
        <w:ind w:left="0" w:firstLine="420"/>
        <w:spacing w:line="360" w:lineRule="auto"/>
        <w:widowControl w:val="off"/>
        <w:rPr>
          <w:rFonts w:hint="eastAsia" w:asciiTheme="majorEastAsia" w:hAnsiTheme="majorEastAsia" w:eastAsiaTheme="majorEastAsia"/>
          <w:bCs/>
          <w:color w:val="000000" w:themeColor="text1"/>
          <w:sz w:val="21"/>
          <w:szCs w:val="21"/>
          <w14:textFill>
            <w14:solidFill>
              <w14:schemeClr w14:val="tx1"/>
            </w14:solidFill>
          </w14:textFill>
        </w:rPr>
      </w:pPr>
      <w:r>
        <w:rPr>
          <w:rFonts w:hint="eastAsia" w:asciiTheme="majorEastAsia" w:hAnsiTheme="majorEastAsia" w:eastAsiaTheme="majorEastAsia"/>
          <w:bCs/>
          <w:color w:val="000000" w:themeColor="text1"/>
          <w:sz w:val="21"/>
          <w:szCs w:val="21"/>
          <w14:textFill>
            <w14:solidFill>
              <w14:schemeClr w14:val="tx1"/>
            </w14:solidFill>
          </w14:textFill>
        </w:rPr>
        <w:t xml:space="preserve">2.合同内容：甲方委托乙方完成苏州市辖区内89个市控乡镇站点（张家港市9个、常熟市13个、太仓市6个、昆山市11个、吴江区8个、吴中区12个、相城区11个、姑苏区8个、工业园区4个、高新区7个）2025年SO</w:t>
      </w:r>
      <w:r>
        <w:rPr>
          <w:rFonts w:hint="eastAsia" w:asciiTheme="majorEastAsia" w:hAnsiTheme="majorEastAsia" w:eastAsiaTheme="majorEastAsia"/>
          <w:bCs/>
          <w:color w:val="000000" w:themeColor="text1"/>
          <w:sz w:val="21"/>
          <w:szCs w:val="21"/>
          <w:vertAlign w:val="subscript"/>
          <w14:textFill>
            <w14:solidFill>
              <w14:schemeClr w14:val="tx1"/>
            </w14:solidFill>
          </w14:textFill>
        </w:rPr>
        <w:t xml:space="preserve">2</w:t>
      </w:r>
      <w:r>
        <w:rPr>
          <w:rFonts w:hint="eastAsia" w:asciiTheme="majorEastAsia" w:hAnsiTheme="majorEastAsia" w:eastAsiaTheme="majorEastAsia"/>
          <w:bCs/>
          <w:color w:val="000000" w:themeColor="text1"/>
          <w:sz w:val="21"/>
          <w:szCs w:val="21"/>
          <w14:textFill>
            <w14:solidFill>
              <w14:schemeClr w14:val="tx1"/>
            </w14:solidFill>
          </w14:textFill>
        </w:rPr>
        <w:t xml:space="preserve">、NO</w:t>
      </w:r>
      <w:r>
        <w:rPr>
          <w:rFonts w:hint="eastAsia" w:asciiTheme="majorEastAsia" w:hAnsiTheme="majorEastAsia" w:eastAsiaTheme="majorEastAsia"/>
          <w:bCs/>
          <w:color w:val="000000" w:themeColor="text1"/>
          <w:sz w:val="21"/>
          <w:szCs w:val="21"/>
          <w:vertAlign w:val="subscript"/>
          <w14:textFill>
            <w14:solidFill>
              <w14:schemeClr w14:val="tx1"/>
            </w14:solidFill>
          </w14:textFill>
        </w:rPr>
        <w:t xml:space="preserve">2</w:t>
      </w:r>
      <w:r>
        <w:rPr>
          <w:rFonts w:hint="eastAsia" w:asciiTheme="majorEastAsia" w:hAnsiTheme="majorEastAsia" w:eastAsiaTheme="majorEastAsia"/>
          <w:bCs/>
          <w:color w:val="000000" w:themeColor="text1"/>
          <w:sz w:val="21"/>
          <w:szCs w:val="21"/>
          <w14:textFill>
            <w14:solidFill>
              <w14:schemeClr w14:val="tx1"/>
            </w14:solidFill>
          </w14:textFill>
        </w:rPr>
        <w:t xml:space="preserve">、CO、O</w:t>
      </w:r>
      <w:r>
        <w:rPr>
          <w:rFonts w:hint="eastAsia" w:asciiTheme="majorEastAsia" w:hAnsiTheme="majorEastAsia" w:eastAsiaTheme="majorEastAsia"/>
          <w:bCs/>
          <w:color w:val="000000" w:themeColor="text1"/>
          <w:sz w:val="21"/>
          <w:szCs w:val="21"/>
          <w:vertAlign w:val="subscript"/>
          <w14:textFill>
            <w14:solidFill>
              <w14:schemeClr w14:val="tx1"/>
            </w14:solidFill>
          </w14:textFill>
        </w:rPr>
        <w:t xml:space="preserve">3</w:t>
      </w:r>
      <w:r>
        <w:rPr>
          <w:rFonts w:hint="eastAsia" w:asciiTheme="majorEastAsia" w:hAnsiTheme="majorEastAsia" w:eastAsiaTheme="majorEastAsia"/>
          <w:bCs/>
          <w:color w:val="000000" w:themeColor="text1"/>
          <w:sz w:val="21"/>
          <w:szCs w:val="21"/>
          <w14:textFill>
            <w14:solidFill>
              <w14:schemeClr w14:val="tx1"/>
            </w14:solidFill>
          </w14:textFill>
        </w:rPr>
        <w:t xml:space="preserve">、PM</w:t>
      </w:r>
      <w:r>
        <w:rPr>
          <w:rFonts w:hint="eastAsia" w:asciiTheme="majorEastAsia" w:hAnsiTheme="majorEastAsia" w:eastAsiaTheme="majorEastAsia"/>
          <w:bCs/>
          <w:color w:val="000000" w:themeColor="text1"/>
          <w:sz w:val="21"/>
          <w:szCs w:val="21"/>
          <w:vertAlign w:val="subscript"/>
          <w14:textFill>
            <w14:solidFill>
              <w14:schemeClr w14:val="tx1"/>
            </w14:solidFill>
          </w14:textFill>
        </w:rPr>
        <w:t xml:space="preserve">10</w:t>
      </w:r>
      <w:r>
        <w:rPr>
          <w:rFonts w:hint="eastAsia" w:asciiTheme="majorEastAsia" w:hAnsiTheme="majorEastAsia" w:eastAsiaTheme="majorEastAsia"/>
          <w:bCs/>
          <w:color w:val="000000" w:themeColor="text1"/>
          <w:sz w:val="21"/>
          <w:szCs w:val="21"/>
          <w14:textFill>
            <w14:solidFill>
              <w14:schemeClr w14:val="tx1"/>
            </w14:solidFill>
          </w14:textFill>
        </w:rPr>
        <w:t xml:space="preserve">、PM</w:t>
      </w:r>
      <w:r>
        <w:rPr>
          <w:rFonts w:hint="eastAsia" w:asciiTheme="majorEastAsia" w:hAnsiTheme="majorEastAsia" w:eastAsiaTheme="majorEastAsia"/>
          <w:bCs/>
          <w:color w:val="000000" w:themeColor="text1"/>
          <w:sz w:val="21"/>
          <w:szCs w:val="21"/>
          <w:vertAlign w:val="subscript"/>
          <w14:textFill>
            <w14:solidFill>
              <w14:schemeClr w14:val="tx1"/>
            </w14:solidFill>
          </w14:textFill>
        </w:rPr>
        <w:t xml:space="preserve">2.5</w:t>
      </w:r>
      <w:r>
        <w:rPr>
          <w:rFonts w:hint="eastAsia" w:asciiTheme="majorEastAsia" w:hAnsiTheme="majorEastAsia" w:eastAsiaTheme="majorEastAsia"/>
          <w:bCs/>
          <w:color w:val="000000" w:themeColor="text1"/>
          <w:sz w:val="21"/>
          <w:szCs w:val="21"/>
          <w14:textFill>
            <w14:solidFill>
              <w14:schemeClr w14:val="tx1"/>
            </w14:solidFill>
          </w14:textFill>
        </w:rPr>
        <w:t xml:space="preserve">的数据质控工作。</w:t>
      </w:r>
      <w:r/>
    </w:p>
    <w:p>
      <w:pPr>
        <w:ind w:left="420"/>
        <w:spacing w:line="360" w:lineRule="auto"/>
        <w:widowControl w:val="off"/>
        <w:rPr>
          <w:rFonts w:hint="eastAsia" w:asciiTheme="majorEastAsia" w:hAnsiTheme="majorEastAsia" w:eastAsiaTheme="majorEastAsia"/>
          <w:bCs/>
          <w:color w:val="000000" w:themeColor="text1"/>
          <w:sz w:val="21"/>
          <w:szCs w:val="21"/>
          <w14:textFill>
            <w14:solidFill>
              <w14:schemeClr w14:val="tx1"/>
            </w14:solidFill>
          </w14:textFill>
        </w:rPr>
      </w:pPr>
      <w:r>
        <w:rPr>
          <w:rFonts w:hint="eastAsia" w:asciiTheme="majorEastAsia" w:hAnsiTheme="majorEastAsia" w:eastAsiaTheme="majorEastAsia"/>
          <w:bCs/>
          <w:color w:val="000000" w:themeColor="text1"/>
          <w:sz w:val="21"/>
          <w:szCs w:val="21"/>
          <w14:textFill>
            <w14:solidFill>
              <w14:schemeClr w14:val="tx1"/>
            </w14:solidFill>
          </w14:textFill>
        </w:rPr>
        <w:t xml:space="preserve">3.服务地点：苏州市范围内共计89个市控乡镇站点。具体点位成交后由采购人提供。</w:t>
      </w:r>
      <w:r/>
    </w:p>
    <w:p>
      <w:pPr>
        <w:ind w:left="420"/>
        <w:spacing w:line="360" w:lineRule="auto"/>
        <w:widowControl w:val="off"/>
        <w:rPr>
          <w:rFonts w:hint="eastAsia" w:asciiTheme="majorEastAsia" w:hAnsiTheme="majorEastAsia" w:eastAsiaTheme="majorEastAsia"/>
          <w:bCs/>
          <w:color w:val="000000" w:themeColor="text1"/>
          <w:sz w:val="21"/>
          <w:szCs w:val="21"/>
          <w14:textFill>
            <w14:solidFill>
              <w14:schemeClr w14:val="tx1"/>
            </w14:solidFill>
          </w14:textFill>
        </w:rPr>
      </w:pPr>
      <w:r>
        <w:rPr>
          <w:rFonts w:hint="eastAsia" w:asciiTheme="majorEastAsia" w:hAnsiTheme="majorEastAsia" w:eastAsiaTheme="majorEastAsia"/>
          <w:bCs/>
          <w:color w:val="000000" w:themeColor="text1"/>
          <w:sz w:val="21"/>
          <w:szCs w:val="21"/>
          <w14:textFill>
            <w14:solidFill>
              <w14:schemeClr w14:val="tx1"/>
            </w14:solidFill>
          </w14:textFill>
        </w:rPr>
        <w:t xml:space="preserve">4.服务期限：2026年2月1日至2027年1月31日。</w:t>
      </w:r>
      <w:r/>
    </w:p>
    <w:p>
      <w:pPr>
        <w:pStyle w:val="1010"/>
        <w:ind w:firstLine="420"/>
      </w:pPr>
      <w:r>
        <w:rPr>
          <w:rFonts w:hint="eastAsia"/>
        </w:rPr>
        <w:t xml:space="preserve">5.合同有效期限：签订之日起至</w:t>
      </w:r>
      <w:r>
        <w:rPr>
          <w:rFonts w:hint="eastAsia" w:asciiTheme="majorEastAsia" w:hAnsiTheme="majorEastAsia" w:eastAsiaTheme="majorEastAsia"/>
          <w:bCs/>
          <w:color w:val="000000" w:themeColor="text1"/>
          <w:szCs w:val="21"/>
          <w14:textFill>
            <w14:solidFill>
              <w14:schemeClr w14:val="tx1"/>
            </w14:solidFill>
          </w14:textFill>
        </w:rPr>
        <w:t xml:space="preserve">2027年6月30日。</w:t>
      </w:r>
      <w:r/>
    </w:p>
    <w:p>
      <w:pPr>
        <w:ind w:left="0" w:firstLine="422"/>
        <w:spacing w:line="360" w:lineRule="auto"/>
        <w:widowControl w:val="off"/>
        <w:rPr>
          <w:rFonts w:hint="eastAsia" w:asciiTheme="majorEastAsia" w:hAnsiTheme="majorEastAsia" w:eastAsiaTheme="majorEastAsia"/>
          <w:b/>
          <w:color w:val="000000" w:themeColor="text1"/>
          <w:sz w:val="21"/>
          <w:szCs w:val="21"/>
          <w14:textFill>
            <w14:solidFill>
              <w14:schemeClr w14:val="tx1"/>
            </w14:solidFill>
          </w14:textFill>
        </w:rPr>
      </w:pPr>
      <w:r>
        <w:rPr>
          <w:rFonts w:hint="eastAsia" w:asciiTheme="majorEastAsia" w:hAnsiTheme="majorEastAsia" w:eastAsiaTheme="majorEastAsia"/>
          <w:b/>
          <w:color w:val="000000" w:themeColor="text1"/>
          <w:sz w:val="21"/>
          <w:szCs w:val="21"/>
          <w14:textFill>
            <w14:solidFill>
              <w14:schemeClr w14:val="tx1"/>
            </w14:solidFill>
          </w14:textFill>
        </w:rPr>
        <w:t xml:space="preserve">三、价格与支付：</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1、本合同总价为综合报价，报价包括项目成果的服务费、人工费及提供服务所需的检测费、差旅费、资料费、管理费等及各种应纳的税费所需的一切费用以及风险。如有漏项，视同已包含在其它项目中，合同总价和单价不做调整。报价为最终报价，除非因特殊原因并经合同双方协商同意，响应单位不得再要求追加任何费用。同时，除非合同条款中另有规定，否则，响应单位所报价格在合同实施期间不因市场变化因素而变动。</w:t>
      </w:r>
      <w:r/>
    </w:p>
    <w:p>
      <w:pPr>
        <w:ind w:left="0" w:firstLine="420"/>
        <w:jc w:val="left"/>
        <w:spacing w:line="360" w:lineRule="auto"/>
        <w:tabs>
          <w:tab w:val="left" w:pos="132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2、付款步骤：</w:t>
      </w:r>
      <w:r/>
    </w:p>
    <w:p>
      <w:pPr>
        <w:ind w:left="0" w:firstLine="420"/>
        <w:jc w:val="left"/>
        <w:spacing w:line="360" w:lineRule="auto"/>
        <w:tabs>
          <w:tab w:val="left" w:pos="132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项目合同签订并生效后，甲方于2026年4月底收到乙方开具的发票后的30日内向乙方支付15万元作为预付款；甲方根据项目的进展，2026年10月初对乙方进行阶段性验收及考核，于2026年10月底收到乙方开具的发票后的30日内最多支付30万元且不高于合同金额的35%；于2027年3月底前经甲方总体验收通过后，在收到乙方开具的发票后的30日内支付剩余合同款项。每笔款项支付前，乙方应向甲方开具对应价款的发票。</w:t>
      </w:r>
      <w:r/>
    </w:p>
    <w:p>
      <w:pPr>
        <w:ind w:left="0" w:firstLine="420"/>
        <w:jc w:val="left"/>
        <w:spacing w:line="360" w:lineRule="auto"/>
        <w:tabs>
          <w:tab w:val="left" w:pos="132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（2）乙方接到甲方明确通知无需质控的点位，甲方将以合同金额按实际开展点位及频次数计算予以核减扣除。</w:t>
      </w:r>
      <w:r/>
    </w:p>
    <w:p>
      <w:pPr>
        <w:ind w:left="0" w:firstLine="420"/>
        <w:jc w:val="left"/>
        <w:spacing w:line="360" w:lineRule="auto"/>
        <w:tabs>
          <w:tab w:val="left" w:pos="132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核减扣除费用=（合同对应项目总金额</w:t>
      </w:r>
      <w:r>
        <w:rPr>
          <w:rFonts w:hint="eastAsia" w:ascii="Segoe UI Emoji" w:hAnsi="Segoe UI Emoji" w:cs="Segoe UI Emoji" w:eastAsiaTheme="majorEastAsia"/>
          <w:color w:val="000000" w:themeColor="text1"/>
          <w:sz w:val="21"/>
          <w:szCs w:val="21"/>
          <w14:textFill>
            <w14:solidFill>
              <w14:schemeClr w14:val="tx1"/>
            </w14:solidFill>
          </w14:textFill>
        </w:rPr>
        <w:t xml:space="preserve">÷总点位数÷总频次数）×无需质控点位数×无需质控频次数</w:t>
      </w:r>
      <w:r/>
    </w:p>
    <w:p>
      <w:pPr>
        <w:ind w:left="0" w:firstLine="420"/>
        <w:jc w:val="left"/>
        <w:spacing w:line="360" w:lineRule="auto"/>
        <w:tabs>
          <w:tab w:val="left" w:pos="132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本项目服务期内甲方付款前将进行工作考核，根据考核结果，得分在95分及以上的，全额支付相应服务费用；得分在95分至60分之间的，按照全额应付服务费用95%-60%的比例支付的相应服务费用；得分低于60分的，不支付相应服务费用。</w:t>
      </w:r>
      <w:r/>
    </w:p>
    <w:p>
      <w:pPr>
        <w:ind w:left="0" w:firstLine="420"/>
        <w:jc w:val="left"/>
        <w:spacing w:line="360" w:lineRule="auto"/>
        <w:tabs>
          <w:tab w:val="left" w:pos="132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（4）考核标准：采购单位根据项目考核表对成交单位的辅助服务工作进行验收。</w:t>
      </w:r>
      <w:r/>
    </w:p>
    <w:tbl>
      <w:tblPr>
        <w:tblStyle w:val="1009"/>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1"/>
        <w:gridCol w:w="4175"/>
        <w:gridCol w:w="888"/>
        <w:gridCol w:w="1750"/>
        <w:gridCol w:w="887"/>
      </w:tblGrid>
      <w:tr>
        <w:trPr/>
        <w:tc>
          <w:tcPr>
            <w:tcW w:w="1581"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考核内容</w:t>
            </w:r>
            <w:r/>
          </w:p>
        </w:tc>
        <w:tc>
          <w:tcPr>
            <w:tcW w:w="4175"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考核要点</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单项分值</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评分说明</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得分</w:t>
            </w:r>
            <w:r/>
          </w:p>
        </w:tc>
      </w:tr>
      <w:tr>
        <w:trPr/>
        <w:tc>
          <w:tcPr>
            <w:tcW w:w="1581" w:type="dxa"/>
            <w:vAlign w:val="center"/>
            <w:vMerge w:val="restart"/>
            <w:textDirection w:val="lrTb"/>
            <w:noWrap w:val="false"/>
          </w:tcPr>
          <w:p>
            <w:pPr>
              <w:ind w:left="0"/>
              <w:jc w:val="center"/>
              <w:widowControl w:val="off"/>
              <w:rPr>
                <w:rFonts w:hint="eastAsia" w:ascii="宋体" w:hAnsi="宋体" w:cs="宋体"/>
                <w:sz w:val="21"/>
                <w:szCs w:val="21"/>
              </w:rPr>
            </w:pPr>
            <w:r>
              <w:rPr>
                <w:rFonts w:hint="eastAsia" w:ascii="宋体" w:hAnsi="宋体" w:cs="宋体"/>
                <w:b/>
                <w:sz w:val="21"/>
                <w:szCs w:val="21"/>
              </w:rPr>
              <w:t xml:space="preserve">信息平台监管辅助服务</w:t>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每日进行网络数据巡检，对平台数据脱机、异常数据的判别并记录，核对运营单位提交的数据异常、仪器故障等各类表格或工作联系单的及时性和真实性</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8</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当日未开展，扣0.25分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rHeight w:val="90"/>
        </w:trPr>
        <w:tc>
          <w:tcPr>
            <w:tcW w:w="1581" w:type="dxa"/>
            <w:vAlign w:val="center"/>
            <w:vMerge w:val="continue"/>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发现数据异常按要求及时督促运营单位对现场运维的整改和落实</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5</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未及时发现，每次扣0.25分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rHeight w:val="90"/>
        </w:trPr>
        <w:tc>
          <w:tcPr>
            <w:tcW w:w="1581" w:type="dxa"/>
            <w:vAlign w:val="center"/>
            <w:vMerge w:val="continue"/>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每月统计各站点的有效数据获取率</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5</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未及时统计，每次扣0.5分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rHeight w:val="180"/>
        </w:trPr>
        <w:tc>
          <w:tcPr>
            <w:tcW w:w="1581" w:type="dxa"/>
            <w:vAlign w:val="center"/>
            <w:vMerge w:val="continue"/>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每日、每周、每月按时按成相关报表并交给业主单位</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10</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少一次扣0.25分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c>
          <w:tcPr>
            <w:tcW w:w="1581" w:type="dxa"/>
            <w:vAlign w:val="center"/>
            <w:vMerge w:val="restart"/>
            <w:textDirection w:val="lrTb"/>
            <w:noWrap w:val="false"/>
          </w:tcPr>
          <w:p>
            <w:pPr>
              <w:ind w:left="0"/>
              <w:jc w:val="center"/>
              <w:widowControl w:val="off"/>
              <w:rPr>
                <w:rFonts w:hint="eastAsia" w:ascii="宋体" w:hAnsi="宋体" w:cs="宋体"/>
                <w:b/>
                <w:sz w:val="21"/>
                <w:szCs w:val="21"/>
              </w:rPr>
            </w:pPr>
            <w:r>
              <w:rPr>
                <w:rFonts w:hint="eastAsia" w:ascii="宋体" w:hAnsi="宋体" w:cs="宋体"/>
                <w:b/>
                <w:sz w:val="21"/>
                <w:szCs w:val="21"/>
              </w:rPr>
            </w:r>
            <w:r/>
          </w:p>
          <w:p>
            <w:pPr>
              <w:ind w:left="0"/>
              <w:jc w:val="center"/>
              <w:widowControl w:val="off"/>
              <w:rPr>
                <w:rFonts w:hint="eastAsia" w:ascii="宋体" w:hAnsi="宋体" w:cs="宋体"/>
                <w:b/>
                <w:sz w:val="21"/>
                <w:szCs w:val="21"/>
              </w:rPr>
            </w:pPr>
            <w:r>
              <w:rPr>
                <w:rFonts w:hint="eastAsia" w:ascii="宋体" w:hAnsi="宋体" w:cs="宋体"/>
                <w:b/>
                <w:sz w:val="21"/>
                <w:szCs w:val="21"/>
              </w:rPr>
            </w:r>
            <w:r/>
          </w:p>
          <w:p>
            <w:pPr>
              <w:ind w:left="0"/>
              <w:jc w:val="center"/>
              <w:widowControl w:val="off"/>
              <w:rPr>
                <w:rFonts w:hint="eastAsia" w:ascii="宋体" w:hAnsi="宋体" w:cs="宋体"/>
                <w:b/>
                <w:sz w:val="21"/>
                <w:szCs w:val="21"/>
              </w:rPr>
            </w:pPr>
            <w:r>
              <w:rPr>
                <w:rFonts w:hint="eastAsia" w:ascii="宋体" w:hAnsi="宋体" w:cs="宋体"/>
                <w:b/>
                <w:sz w:val="21"/>
                <w:szCs w:val="21"/>
              </w:rPr>
              <w:t xml:space="preserve">现场质控</w:t>
            </w:r>
            <w:r/>
          </w:p>
          <w:p>
            <w:pPr>
              <w:ind w:left="0"/>
              <w:jc w:val="center"/>
              <w:widowControl w:val="off"/>
            </w:pPr>
            <w:r>
              <w:rPr>
                <w:rFonts w:hint="eastAsia" w:ascii="宋体" w:hAnsi="宋体" w:cs="宋体"/>
                <w:b/>
                <w:sz w:val="21"/>
                <w:szCs w:val="21"/>
              </w:rPr>
              <w:t xml:space="preserve">辅助服务</w:t>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每</w:t>
            </w:r>
            <w:r>
              <w:rPr>
                <w:rFonts w:hint="eastAsia" w:ascii="宋体" w:hAnsi="宋体" w:cs="宋体"/>
                <w:sz w:val="21"/>
                <w:szCs w:val="21"/>
              </w:rPr>
              <w:t xml:space="preserve">季度</w:t>
            </w:r>
            <w:r>
              <w:rPr>
                <w:rFonts w:hint="eastAsia" w:ascii="宋体" w:hAnsi="宋体" w:cs="宋体"/>
                <w:sz w:val="21"/>
                <w:szCs w:val="21"/>
              </w:rPr>
              <w:t xml:space="preserve">各空气自动监控系统现场质控不少于一次并出具质控报告。</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12</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少一次扣0.25分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c>
          <w:tcPr>
            <w:tcW w:w="1581" w:type="dxa"/>
            <w:vAlign w:val="center"/>
            <w:vMerge w:val="continue"/>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4175" w:type="dxa"/>
            <w:vAlign w:val="center"/>
            <w:textDirection w:val="lrTb"/>
            <w:noWrap w:val="false"/>
          </w:tcPr>
          <w:p>
            <w:pPr>
              <w:ind w:left="0"/>
              <w:widowControl w:val="off"/>
              <w:rPr>
                <w:rFonts w:hint="eastAsia" w:ascii="宋体" w:hAnsi="宋体" w:cs="宋体"/>
                <w:b/>
                <w:sz w:val="21"/>
                <w:szCs w:val="21"/>
              </w:rPr>
            </w:pPr>
            <w:r>
              <w:rPr>
                <w:rFonts w:hint="eastAsia" w:ascii="宋体" w:hAnsi="宋体" w:cs="宋体"/>
                <w:bCs/>
                <w:sz w:val="21"/>
                <w:szCs w:val="21"/>
              </w:rPr>
              <w:t xml:space="preserve">每站点监测仪器现场监管必须做比对监测；比对不合格的，应在运营单位整改后提出再次比对申请的两天内安排再次比对</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10</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少一次扣0.25分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c>
          <w:tcPr>
            <w:tcW w:w="1581" w:type="dxa"/>
            <w:vAlign w:val="center"/>
            <w:vMerge w:val="continue"/>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全年对不少于总站点数25%（共计23站次）颗粒物采用2台便携式颗粒物分析仪模式进行比对核查</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12</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少一次扣0.5分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rHeight w:val="90"/>
        </w:trPr>
        <w:tc>
          <w:tcPr>
            <w:tcW w:w="1581" w:type="dxa"/>
            <w:vAlign w:val="center"/>
            <w:vMerge w:val="continue"/>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每季对各站点进行考核打分</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10</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每站点少一次扣0.5分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c>
          <w:tcPr>
            <w:tcW w:w="1581" w:type="dxa"/>
            <w:vAlign w:val="center"/>
            <w:vMerge w:val="continue"/>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现场各项运维记录表是否完整、真实和及时</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8</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按完成情况给分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rHeight w:val="1206"/>
        </w:trPr>
        <w:tc>
          <w:tcPr>
            <w:tcW w:w="1581" w:type="dxa"/>
            <w:vAlign w:val="center"/>
            <w:textDirection w:val="lrTb"/>
            <w:noWrap w:val="false"/>
          </w:tcPr>
          <w:p>
            <w:pPr>
              <w:ind w:left="0"/>
              <w:jc w:val="center"/>
              <w:widowControl w:val="off"/>
              <w:rPr>
                <w:rFonts w:hint="eastAsia" w:ascii="宋体" w:hAnsi="宋体" w:cs="宋体"/>
                <w:b/>
                <w:sz w:val="21"/>
                <w:szCs w:val="21"/>
              </w:rPr>
            </w:pPr>
            <w:r>
              <w:rPr>
                <w:rFonts w:hint="eastAsia" w:ascii="宋体" w:hAnsi="宋体" w:cs="宋体"/>
                <w:b/>
                <w:sz w:val="21"/>
                <w:szCs w:val="21"/>
              </w:rPr>
              <w:t xml:space="preserve">数据质控</w:t>
            </w:r>
            <w:r/>
          </w:p>
          <w:p>
            <w:pPr>
              <w:ind w:left="0"/>
              <w:jc w:val="center"/>
              <w:widowControl w:val="off"/>
            </w:pPr>
            <w:r>
              <w:rPr>
                <w:rFonts w:hint="eastAsia" w:ascii="宋体" w:hAnsi="宋体" w:cs="宋体"/>
                <w:b/>
                <w:sz w:val="21"/>
                <w:szCs w:val="21"/>
              </w:rPr>
              <w:t xml:space="preserve">辅助服务</w:t>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安排专职人员每日早上6点至晚上22点每小时盯紧我市89个乡镇（街道）空气自动站空气质量数据，按照苏州市生态环境局空气质量发布和空气自动站数据异常判定处置要求，每日发布空气质量分析日报，定期对空气质量数据进行汇总统计，对异常数据及时发布预警管控信息，进行数据有效性校核。完成其他业主单位交办的相关事宜。</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14</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按完成情况给分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r>
        <w:trPr>
          <w:trHeight w:val="90"/>
        </w:trPr>
        <w:tc>
          <w:tcPr>
            <w:tcW w:w="1581" w:type="dxa"/>
            <w:vAlign w:val="center"/>
            <w:textDirection w:val="lrTb"/>
            <w:noWrap w:val="false"/>
          </w:tcPr>
          <w:p>
            <w:pPr>
              <w:ind w:left="0"/>
              <w:jc w:val="center"/>
              <w:widowControl w:val="off"/>
              <w:rPr>
                <w:rFonts w:hint="eastAsia" w:ascii="宋体" w:hAnsi="宋体" w:cs="宋体"/>
                <w:b/>
                <w:sz w:val="21"/>
                <w:szCs w:val="21"/>
              </w:rPr>
            </w:pPr>
            <w:r>
              <w:rPr>
                <w:rFonts w:hint="eastAsia" w:ascii="宋体" w:hAnsi="宋体" w:cs="宋体"/>
                <w:b/>
                <w:sz w:val="21"/>
                <w:szCs w:val="21"/>
              </w:rPr>
              <w:t xml:space="preserve">日常监管</w:t>
            </w:r>
            <w:r/>
          </w:p>
        </w:tc>
        <w:tc>
          <w:tcPr>
            <w:tcW w:w="4175" w:type="dxa"/>
            <w:vAlign w:val="center"/>
            <w:textDirection w:val="lrTb"/>
            <w:noWrap w:val="false"/>
          </w:tcPr>
          <w:p>
            <w:pPr>
              <w:ind w:left="0"/>
              <w:widowControl w:val="off"/>
              <w:rPr>
                <w:rFonts w:hint="eastAsia" w:ascii="宋体" w:hAnsi="宋体" w:cs="宋体"/>
                <w:sz w:val="21"/>
                <w:szCs w:val="21"/>
              </w:rPr>
            </w:pPr>
            <w:r>
              <w:rPr>
                <w:rFonts w:hint="eastAsia" w:ascii="宋体" w:hAnsi="宋体" w:cs="宋体"/>
                <w:sz w:val="21"/>
                <w:szCs w:val="21"/>
              </w:rPr>
              <w:t xml:space="preserve">每月质控工作计划向业主方报备，接受业主方检查</w:t>
            </w:r>
            <w:r/>
          </w:p>
        </w:tc>
        <w:tc>
          <w:tcPr>
            <w:tcW w:w="888"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6</w:t>
            </w:r>
            <w:r/>
          </w:p>
        </w:tc>
        <w:tc>
          <w:tcPr>
            <w:tcW w:w="1750"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t xml:space="preserve">每次不符扣6分</w:t>
            </w:r>
            <w:r/>
          </w:p>
        </w:tc>
        <w:tc>
          <w:tcPr>
            <w:tcW w:w="887" w:type="dxa"/>
            <w:vAlign w:val="center"/>
            <w:textDirection w:val="lrTb"/>
            <w:noWrap w:val="false"/>
          </w:tcPr>
          <w:p>
            <w:pPr>
              <w:ind w:left="0"/>
              <w:jc w:val="center"/>
              <w:widowControl w:val="off"/>
              <w:rPr>
                <w:rFonts w:hint="eastAsia" w:ascii="宋体" w:hAnsi="宋体" w:cs="宋体"/>
                <w:sz w:val="21"/>
                <w:szCs w:val="21"/>
              </w:rPr>
            </w:pPr>
            <w:r>
              <w:rPr>
                <w:rFonts w:hint="eastAsia" w:ascii="宋体" w:hAnsi="宋体" w:cs="宋体"/>
                <w:sz w:val="21"/>
                <w:szCs w:val="21"/>
              </w:rPr>
            </w:r>
            <w:r/>
          </w:p>
        </w:tc>
      </w:tr>
    </w:tbl>
    <w:p>
      <w:pPr>
        <w:ind w:left="0"/>
        <w:spacing w:line="360" w:lineRule="auto"/>
      </w:pPr>
      <w:r>
        <w:rPr>
          <w:rFonts w:hint="eastAsia" w:ascii="宋体" w:hAnsi="宋体" w:cs="宋体"/>
          <w:b/>
          <w:bCs/>
        </w:rPr>
        <w:t xml:space="preserve">考核付款比例：</w:t>
      </w:r>
      <w:r>
        <w:rPr>
          <w:rFonts w:hint="eastAsia" w:ascii="宋体" w:hAnsi="宋体" w:cs="宋体"/>
        </w:rPr>
        <w:t xml:space="preserve">本项目服务期内甲方付款前将进行工作考核，根据考核结果，得分在95分及以上的，全额支付相应服务费用；得分在95分至60分之间的，按照全额应付服务费用95%-60%的比例支付的相应服务费用；得分低于60分的，不支付相应服务费用。</w:t>
      </w:r>
      <w:r/>
    </w:p>
    <w:p>
      <w:pPr>
        <w:pStyle w:val="1030"/>
        <w:ind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3、付款凭据：</w:t>
      </w:r>
      <w:r/>
    </w:p>
    <w:p>
      <w:pPr>
        <w:ind w:left="0" w:firstLine="420"/>
        <w:spacing w:line="360" w:lineRule="auto"/>
        <w:widowControl w:val="off"/>
        <w:tabs>
          <w:tab w:val="left" w:pos="3585" w:leader="none"/>
        </w:tabs>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（1）合格发票；</w:t>
      </w:r>
      <w:r/>
    </w:p>
    <w:p>
      <w:pPr>
        <w:ind w:left="0" w:right="-161"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（2）</w:t>
      </w:r>
      <w:r>
        <w:rPr>
          <w:rFonts w:hint="eastAsia" w:asciiTheme="majorEastAsia" w:hAnsiTheme="majorEastAsia" w:eastAsiaTheme="majorEastAsia"/>
          <w:color w:val="000000" w:themeColor="text1"/>
          <w:sz w:val="21"/>
          <w:szCs w:val="21"/>
          <w:lang w:val="zh-CN"/>
          <w14:textFill>
            <w14:solidFill>
              <w14:schemeClr w14:val="tx1"/>
            </w14:solidFill>
          </w14:textFill>
        </w:rPr>
        <w:t xml:space="preserve">甲方盖章后的验收合格证明。</w:t>
      </w:r>
      <w:r/>
    </w:p>
    <w:p>
      <w:pPr>
        <w:ind w:left="0" w:right="-161"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（3）由供需双方及招标代理机构盖章的《政府采购合同履行验收报告》及《考核表》。</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4、付款方式：</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付款形式：银行转账</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乙方账户信息如下：</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户  名： </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开户行：  </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账  号： </w:t>
      </w:r>
      <w:r/>
    </w:p>
    <w:p>
      <w:pPr>
        <w:ind w:left="0" w:firstLine="420"/>
        <w:spacing w:line="360" w:lineRule="auto"/>
        <w:rPr>
          <w:rFonts w:hint="eastAsia" w:asciiTheme="majorEastAsia" w:hAnsiTheme="majorEastAsia" w:eastAsiaTheme="majorEastAsia"/>
          <w:bCs/>
          <w:color w:val="000000" w:themeColor="text1"/>
          <w:sz w:val="21"/>
          <w:szCs w:val="21"/>
          <w:lang w:val="zh-CN"/>
          <w14:textFill>
            <w14:solidFill>
              <w14:schemeClr w14:val="tx1"/>
            </w14:solidFill>
          </w14:textFill>
        </w:rPr>
      </w:pPr>
      <w:r>
        <w:rPr>
          <w:rFonts w:hint="eastAsia" w:asciiTheme="majorEastAsia" w:hAnsiTheme="majorEastAsia" w:eastAsiaTheme="majorEastAsia"/>
          <w:bCs/>
          <w:color w:val="000000" w:themeColor="text1"/>
          <w:sz w:val="21"/>
          <w:szCs w:val="21"/>
          <w:lang w:val="zh-CN"/>
          <w14:textFill>
            <w14:solidFill>
              <w14:schemeClr w14:val="tx1"/>
            </w14:solidFill>
          </w14:textFill>
        </w:rPr>
        <w:t xml:space="preserve">数字人民币（如有）：</w:t>
      </w:r>
      <w:r/>
    </w:p>
    <w:p>
      <w:pPr>
        <w:ind w:left="0" w:firstLine="422"/>
        <w:spacing w:line="360" w:lineRule="auto"/>
        <w:rPr>
          <w:rFonts w:hint="eastAsia" w:asciiTheme="majorEastAsia" w:hAnsiTheme="majorEastAsia" w:eastAsiaTheme="majorEastAsia"/>
          <w:color w:val="000000" w:themeColor="text1"/>
          <w:sz w:val="21"/>
          <w:szCs w:val="21"/>
          <w:lang w:val="zh-CN"/>
          <w14:textFill>
            <w14:solidFill>
              <w14:schemeClr w14:val="tx1"/>
            </w14:solidFill>
          </w14:textFill>
        </w:rPr>
      </w:pPr>
      <w:r>
        <w:rPr>
          <w:rFonts w:hint="eastAsia" w:asciiTheme="majorEastAsia" w:hAnsiTheme="majorEastAsia" w:eastAsiaTheme="majorEastAsia"/>
          <w:b/>
          <w:color w:val="000000" w:themeColor="text1"/>
          <w:sz w:val="21"/>
          <w:szCs w:val="21"/>
          <w:lang w:val="zh-CN"/>
          <w14:textFill>
            <w14:solidFill>
              <w14:schemeClr w14:val="tx1"/>
            </w14:solidFill>
          </w14:textFill>
        </w:rPr>
        <w:t xml:space="preserve">四、其他事项</w:t>
      </w:r>
      <w:r>
        <w:rPr>
          <w:rFonts w:hint="eastAsia" w:asciiTheme="majorEastAsia" w:hAnsiTheme="majorEastAsia" w:eastAsiaTheme="majorEastAsia"/>
          <w:color w:val="000000" w:themeColor="text1"/>
          <w:sz w:val="21"/>
          <w:szCs w:val="21"/>
          <w:lang w:val="zh-CN"/>
          <w14:textFill>
            <w14:solidFill>
              <w14:schemeClr w14:val="tx1"/>
            </w14:solidFill>
          </w14:textFill>
        </w:rPr>
        <w:t xml:space="preserve">：</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1、验收方式：乙方出具的报告必须通过由甲方组织的评审验收，并经书面认可后视为验收通过。</w:t>
      </w:r>
      <w:r/>
    </w:p>
    <w:p>
      <w:pPr>
        <w:ind w:left="0" w:firstLine="422"/>
        <w:spacing w:line="360" w:lineRule="auto"/>
        <w:rPr>
          <w:rFonts w:hint="eastAsia" w:cs="宋体" w:asciiTheme="majorEastAsia" w:hAnsiTheme="majorEastAsia" w:eastAsiaTheme="majorEastAsia"/>
          <w:b/>
          <w:color w:val="000000" w:themeColor="text1"/>
          <w:sz w:val="21"/>
          <w:szCs w:val="21"/>
          <w14:textFill>
            <w14:solidFill>
              <w14:schemeClr w14:val="tx1"/>
            </w14:solidFill>
          </w14:textFill>
        </w:rPr>
      </w:pPr>
      <w:r>
        <w:rPr>
          <w:rFonts w:hint="eastAsia" w:cs="宋体" w:asciiTheme="majorEastAsia" w:hAnsiTheme="majorEastAsia" w:eastAsiaTheme="majorEastAsia"/>
          <w:b/>
          <w:color w:val="000000" w:themeColor="text1"/>
          <w:sz w:val="21"/>
          <w:szCs w:val="21"/>
          <w14:textFill>
            <w14:solidFill>
              <w14:schemeClr w14:val="tx1"/>
            </w14:solidFill>
          </w14:textFill>
        </w:rPr>
        <w:t xml:space="preserve">五、违约责任：</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 1、甲方违约责任及违约金支付：</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（1）在合同生效后，甲方无理由要求终止服务的，应向乙方偿付合同总价款的5%，作为违约金，违约金不足以补偿损失的，乙方有权要求甲方补足；</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（2）甲方逾期付款的应按照逾期付款金额的每天万分之四支付逾期付款违约金；</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（3）甲方违反合同规定，拒绝接受乙方提供服务，应当承担乙方由此造成的损失。</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（4）如发现弄虚作假等违规违法情况，甲方有权解除并要求赔偿。</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2、乙方违约责任及违约金支付：</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（1）乙方不能提供服务的，或服务不合格，应向甲方偿付合同总价款5%的违约金</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（2）乙方逾期提供服务的，甲方仍要求的，乙方应立即提供服务并按照逾期服务的点位及频次数按照成交金额核算违约金，同时承担甲方因此遭致的损失费用。</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（3）乙方在服务期间如出现重大违规事项，发生一次，则甲方有权直接单方面终止合同履约，并要求乙方赔偿由此造成的损失。  </w:t>
      </w:r>
      <w:r/>
    </w:p>
    <w:p>
      <w:pPr>
        <w:ind w:left="0" w:right="-153" w:firstLine="422"/>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b/>
          <w:color w:val="000000" w:themeColor="text1"/>
          <w:sz w:val="21"/>
          <w:szCs w:val="21"/>
          <w14:textFill>
            <w14:solidFill>
              <w14:schemeClr w14:val="tx1"/>
            </w14:solidFill>
          </w14:textFill>
        </w:rPr>
        <w:t xml:space="preserve">六、不可抗力</w:t>
      </w:r>
      <w:r/>
    </w:p>
    <w:p>
      <w:pPr>
        <w:ind w:left="0" w:right="-153"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1、因不可抗力不能履行合同的，根据不可抗力的影响，部分或者全部免除责任。但合同一方延迟履行后发生不可抗力的，不能免除责任。</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2、合同一方因不可抗力不能履行合同的，应当及时通知对方，以减轻可能给对方造成的损失，并应当在合理期限内提供证明。</w:t>
      </w:r>
      <w:r/>
    </w:p>
    <w:p>
      <w:pPr>
        <w:ind w:left="0" w:firstLine="422"/>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b/>
          <w:color w:val="000000" w:themeColor="text1"/>
          <w:sz w:val="21"/>
          <w:szCs w:val="21"/>
          <w14:textFill>
            <w14:solidFill>
              <w14:schemeClr w14:val="tx1"/>
            </w14:solidFill>
          </w14:textFill>
        </w:rPr>
        <w:t xml:space="preserve">七、转让和分包</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1.政府采购合同的部分和全部都不得转让。</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经甲方书面同意，乙方可将非主体、非关键性部分可以分包。接受分包的人应当具备相应的资格条件，并不得再次分包。分包后不能解除乙方履行本合同的责任和义务，接受分包的人与乙方共同对甲方连带承担合同的责任和义务。</w:t>
      </w:r>
      <w:r/>
    </w:p>
    <w:p>
      <w:pPr>
        <w:ind w:left="0" w:firstLine="422"/>
        <w:spacing w:line="360" w:lineRule="auto"/>
        <w:rPr>
          <w:rFonts w:hint="eastAsia" w:cs="宋体" w:asciiTheme="majorEastAsia" w:hAnsiTheme="majorEastAsia" w:eastAsiaTheme="majorEastAsia"/>
          <w:b/>
          <w:color w:val="000000" w:themeColor="text1"/>
          <w:sz w:val="21"/>
          <w:szCs w:val="21"/>
          <w14:textFill>
            <w14:solidFill>
              <w14:schemeClr w14:val="tx1"/>
            </w14:solidFill>
          </w14:textFill>
        </w:rPr>
      </w:pPr>
      <w:r>
        <w:rPr>
          <w:rFonts w:hint="eastAsia" w:cs="宋体" w:asciiTheme="majorEastAsia" w:hAnsiTheme="majorEastAsia" w:eastAsiaTheme="majorEastAsia"/>
          <w:b/>
          <w:color w:val="000000" w:themeColor="text1"/>
          <w:sz w:val="21"/>
          <w:szCs w:val="21"/>
          <w14:textFill>
            <w14:solidFill>
              <w14:schemeClr w14:val="tx1"/>
            </w14:solidFill>
          </w14:textFill>
        </w:rPr>
        <w:t xml:space="preserve">八、合同的解除</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有下列情形之一，合同一方可以解除合同：</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 因不可抗力致使不能实现合同目的，双方均有权利解除合同；</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2．因合同一方违约导致合同不能履行，另一方有权解除合同。</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3．因不可抗力提出解除合同的一方，应当在违约事实或不可抗力发生之后三十天内书面通知对方以主张解除合同，合同在书面通知到达对方时解除。</w:t>
      </w:r>
      <w:r/>
    </w:p>
    <w:p>
      <w:pPr>
        <w:ind w:left="0" w:firstLine="422"/>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b/>
          <w:color w:val="000000" w:themeColor="text1"/>
          <w:sz w:val="21"/>
          <w:szCs w:val="21"/>
          <w14:textFill>
            <w14:solidFill>
              <w14:schemeClr w14:val="tx1"/>
            </w14:solidFill>
          </w14:textFill>
        </w:rPr>
        <w:t xml:space="preserve">九、合同的生效：</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甲、乙双方代表在合同上签字盖章（公章或合同章）后生效。</w:t>
      </w:r>
      <w:r/>
    </w:p>
    <w:p>
      <w:pPr>
        <w:ind w:left="0" w:firstLine="422"/>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b/>
          <w:color w:val="000000" w:themeColor="text1"/>
          <w:sz w:val="21"/>
          <w:szCs w:val="21"/>
          <w14:textFill>
            <w14:solidFill>
              <w14:schemeClr w14:val="tx1"/>
            </w14:solidFill>
          </w14:textFill>
        </w:rPr>
        <w:t xml:space="preserve">十、争议解决：</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甲乙双方因合同发生争议，签约双方应友好协商解决。协商不成，任何一方可以向甲方所在地人民法院起诉。</w:t>
      </w:r>
      <w:r/>
    </w:p>
    <w:p>
      <w:pPr>
        <w:ind w:left="0" w:firstLine="422"/>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b/>
          <w:color w:val="000000" w:themeColor="text1"/>
          <w:sz w:val="21"/>
          <w:szCs w:val="21"/>
          <w14:textFill>
            <w14:solidFill>
              <w14:schemeClr w14:val="tx1"/>
            </w14:solidFill>
          </w14:textFill>
        </w:rPr>
        <w:t xml:space="preserve">十一、其他附则：</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1、合同份数：本合同一式陆份，甲乙双方各执贰份，招标代理机构贰份。</w:t>
      </w:r>
      <w:r/>
    </w:p>
    <w:p>
      <w:pPr>
        <w:ind w:left="0" w:firstLine="420"/>
        <w:spacing w:line="360" w:lineRule="auto"/>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color w:val="000000" w:themeColor="text1"/>
          <w:sz w:val="21"/>
          <w:szCs w:val="21"/>
          <w14:textFill>
            <w14:solidFill>
              <w14:schemeClr w14:val="tx1"/>
            </w14:solidFill>
          </w14:textFill>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cs="宋体" w:asciiTheme="majorEastAsia" w:hAnsiTheme="majorEastAsia" w:eastAsiaTheme="majorEastAsia"/>
          <w:bCs/>
          <w:color w:val="000000" w:themeColor="text1"/>
          <w:sz w:val="21"/>
          <w:szCs w:val="21"/>
          <w14:textFill>
            <w14:solidFill>
              <w14:schemeClr w14:val="tx1"/>
            </w14:solidFill>
          </w14:textFill>
        </w:rPr>
        <w:t xml:space="preserve">备注：合同条款内容将根据成交单位承诺的实际服务内容进行调整。</w:t>
      </w:r>
      <w:r/>
    </w:p>
    <w:p>
      <w:pPr>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甲方：</w:t>
      </w:r>
      <w:r>
        <w:rPr>
          <w:rFonts w:asciiTheme="majorEastAsia" w:hAnsiTheme="majorEastAsia" w:eastAsiaTheme="majorEastAsia"/>
          <w:color w:val="000000" w:themeColor="text1"/>
          <w:sz w:val="21"/>
          <w:szCs w:val="21"/>
          <w14:textFill>
            <w14:solidFill>
              <w14:schemeClr w14:val="tx1"/>
            </w14:solidFill>
          </w14:textFill>
        </w:rPr>
        <w:t xml:space="preserve">                    </w:t>
      </w:r>
      <w:r>
        <w:rPr>
          <w:rFonts w:hint="eastAsia" w:asciiTheme="majorEastAsia" w:hAnsiTheme="majorEastAsia" w:eastAsiaTheme="majorEastAsia"/>
          <w:color w:val="000000" w:themeColor="text1"/>
          <w:sz w:val="21"/>
          <w:szCs w:val="21"/>
          <w14:textFill>
            <w14:solidFill>
              <w14:schemeClr w14:val="tx1"/>
            </w14:solidFill>
          </w14:textFill>
        </w:rPr>
        <w:t xml:space="preserve">                    </w:t>
      </w:r>
      <w:r>
        <w:rPr>
          <w:rFonts w:asciiTheme="majorEastAsia" w:hAnsiTheme="majorEastAsia" w:eastAsiaTheme="majorEastAsia"/>
          <w:color w:val="000000" w:themeColor="text1"/>
          <w:sz w:val="21"/>
          <w:szCs w:val="21"/>
          <w14:textFill>
            <w14:solidFill>
              <w14:schemeClr w14:val="tx1"/>
            </w14:solidFill>
          </w14:textFill>
        </w:rPr>
        <w:t xml:space="preserve"> </w:t>
      </w:r>
      <w:r>
        <w:rPr>
          <w:rFonts w:hint="eastAsia" w:asciiTheme="majorEastAsia" w:hAnsiTheme="majorEastAsia" w:eastAsiaTheme="majorEastAsia"/>
          <w:color w:val="000000" w:themeColor="text1"/>
          <w:sz w:val="21"/>
          <w:szCs w:val="21"/>
          <w14:textFill>
            <w14:solidFill>
              <w14:schemeClr w14:val="tx1"/>
            </w14:solidFill>
          </w14:textFill>
        </w:rPr>
        <w:t xml:space="preserve">乙方：                        </w:t>
      </w:r>
      <w:r/>
    </w:p>
    <w:p>
      <w:pPr>
        <w:pStyle w:val="1010"/>
        <w:ind w:firstLine="420"/>
      </w:pPr>
      <w:r/>
      <w:r/>
    </w:p>
    <w:p>
      <w:pPr>
        <w:ind w:left="0" w:firstLine="420"/>
        <w:spacing w:line="360" w:lineRule="auto"/>
        <w:rPr>
          <w:rFonts w:hint="eastAsia"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法定代表人（授权代表）：</w:t>
      </w:r>
      <w:r>
        <w:rPr>
          <w:rFonts w:asciiTheme="majorEastAsia" w:hAnsiTheme="majorEastAsia" w:eastAsiaTheme="majorEastAsia"/>
          <w:color w:val="000000" w:themeColor="text1"/>
          <w:sz w:val="21"/>
          <w:szCs w:val="21"/>
          <w14:textFill>
            <w14:solidFill>
              <w14:schemeClr w14:val="tx1"/>
            </w14:solidFill>
          </w14:textFill>
        </w:rPr>
        <w:t xml:space="preserve">   </w:t>
      </w:r>
      <w:r>
        <w:rPr>
          <w:rFonts w:hint="eastAsia" w:asciiTheme="majorEastAsia" w:hAnsiTheme="majorEastAsia" w:eastAsiaTheme="majorEastAsia"/>
          <w:color w:val="000000" w:themeColor="text1"/>
          <w:sz w:val="21"/>
          <w:szCs w:val="21"/>
          <w14:textFill>
            <w14:solidFill>
              <w14:schemeClr w14:val="tx1"/>
            </w14:solidFill>
          </w14:textFill>
        </w:rPr>
        <w:t xml:space="preserve">                   </w:t>
      </w:r>
      <w:r>
        <w:rPr>
          <w:rFonts w:asciiTheme="majorEastAsia" w:hAnsiTheme="majorEastAsia" w:eastAsiaTheme="majorEastAsia"/>
          <w:color w:val="000000" w:themeColor="text1"/>
          <w:sz w:val="21"/>
          <w:szCs w:val="21"/>
          <w14:textFill>
            <w14:solidFill>
              <w14:schemeClr w14:val="tx1"/>
            </w14:solidFill>
          </w14:textFill>
        </w:rPr>
        <w:t xml:space="preserve"> </w:t>
      </w:r>
      <w:r>
        <w:rPr>
          <w:rFonts w:hint="eastAsia" w:asciiTheme="majorEastAsia" w:hAnsiTheme="majorEastAsia" w:eastAsiaTheme="majorEastAsia"/>
          <w:color w:val="000000" w:themeColor="text1"/>
          <w:sz w:val="21"/>
          <w:szCs w:val="21"/>
          <w14:textFill>
            <w14:solidFill>
              <w14:schemeClr w14:val="tx1"/>
            </w14:solidFill>
          </w14:textFill>
        </w:rPr>
        <w:t xml:space="preserve">法定代表人（授权代表）：     </w:t>
      </w:r>
      <w:r/>
    </w:p>
    <w:p>
      <w:pPr>
        <w:pStyle w:val="1010"/>
        <w:ind w:firstLine="420"/>
      </w:pPr>
      <w:r/>
      <w:r/>
    </w:p>
    <w:p>
      <w:pPr>
        <w:ind w:left="0" w:firstLine="420"/>
        <w:jc w:val="left"/>
        <w:spacing w:line="360" w:lineRule="auto"/>
        <w:tabs>
          <w:tab w:val="left" w:pos="2880" w:leader="none"/>
        </w:tabs>
        <w:rPr>
          <w:rFonts w:hint="eastAsia" w:cs="宋体" w:asciiTheme="majorEastAsia" w:hAnsiTheme="majorEastAsia" w:eastAsiaTheme="majorEastAsia"/>
          <w:color w:val="000000" w:themeColor="text1"/>
          <w:sz w:val="21"/>
          <w:szCs w:val="21"/>
          <w14:textFill>
            <w14:solidFill>
              <w14:schemeClr w14:val="tx1"/>
            </w14:solidFill>
          </w14:textFill>
        </w:rPr>
      </w:pPr>
      <w:r>
        <w:rPr>
          <w:rFonts w:hint="eastAsia" w:asciiTheme="majorEastAsia" w:hAnsiTheme="majorEastAsia" w:eastAsiaTheme="majorEastAsia"/>
          <w:color w:val="000000" w:themeColor="text1"/>
          <w:sz w:val="21"/>
          <w:szCs w:val="21"/>
          <w14:textFill>
            <w14:solidFill>
              <w14:schemeClr w14:val="tx1"/>
            </w14:solidFill>
          </w14:textFill>
        </w:rPr>
        <w:t xml:space="preserve">签约日期：</w:t>
      </w:r>
      <w:r>
        <w:rPr>
          <w:rFonts w:asciiTheme="majorEastAsia" w:hAnsiTheme="majorEastAsia" w:eastAsiaTheme="majorEastAsia"/>
          <w:color w:val="000000" w:themeColor="text1"/>
          <w:sz w:val="21"/>
          <w:szCs w:val="21"/>
          <w14:textFill>
            <w14:solidFill>
              <w14:schemeClr w14:val="tx1"/>
            </w14:solidFill>
          </w14:textFill>
        </w:rPr>
        <w:t xml:space="preserve">                 </w:t>
      </w:r>
      <w:r>
        <w:rPr>
          <w:rFonts w:hint="eastAsia" w:asciiTheme="majorEastAsia" w:hAnsiTheme="majorEastAsia" w:eastAsiaTheme="majorEastAsia"/>
          <w:color w:val="000000" w:themeColor="text1"/>
          <w:sz w:val="21"/>
          <w:szCs w:val="21"/>
          <w14:textFill>
            <w14:solidFill>
              <w14:schemeClr w14:val="tx1"/>
            </w14:solidFill>
          </w14:textFill>
        </w:rPr>
        <w:t xml:space="preserve">                    签约日期：</w:t>
      </w:r>
      <w:r/>
    </w:p>
    <w:p>
      <w:pPr>
        <w:ind w:left="0"/>
        <w:jc w:val="left"/>
        <w:spacing w:line="360" w:lineRule="auto"/>
        <w:rPr>
          <w:rFonts w:hint="eastAsia" w:ascii="宋体" w:hAnsi="宋体"/>
          <w:sz w:val="21"/>
        </w:rPr>
      </w:pPr>
      <w:r>
        <w:rPr>
          <w:rFonts w:hint="eastAsia"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15" w:name="_Toc73000678"/>
      <w:r/>
      <w:bookmarkStart w:id="116" w:name="_Toc68611039"/>
      <w:r>
        <w:rPr>
          <w:rFonts w:hint="eastAsia"/>
          <w:b/>
          <w:sz w:val="44"/>
          <w:szCs w:val="44"/>
        </w:rPr>
        <w:t xml:space="preserve">第六章 </w:t>
      </w:r>
      <w:bookmarkStart w:id="117" w:name="评分要点"/>
      <w:r/>
      <w:bookmarkEnd w:id="117"/>
      <w:r>
        <w:rPr>
          <w:rFonts w:hint="eastAsia"/>
          <w:b/>
          <w:sz w:val="44"/>
          <w:szCs w:val="44"/>
        </w:rPr>
        <w:t xml:space="preserve">评审办法和评分标准</w:t>
      </w:r>
      <w:bookmarkEnd w:id="110"/>
      <w:r/>
      <w:bookmarkEnd w:id="111"/>
      <w:r/>
      <w:bookmarkEnd w:id="112"/>
      <w:r/>
      <w:bookmarkEnd w:id="113"/>
      <w:r/>
      <w:bookmarkEnd w:id="114"/>
      <w:r/>
      <w:bookmarkEnd w:id="115"/>
      <w:r/>
      <w:bookmarkEnd w:id="116"/>
      <w:r/>
      <w:r/>
    </w:p>
    <w:p>
      <w:pPr>
        <w:ind w:left="0" w:firstLine="422"/>
        <w:spacing w:line="360" w:lineRule="auto"/>
        <w:rPr>
          <w:b/>
          <w:sz w:val="21"/>
          <w:szCs w:val="21"/>
        </w:rPr>
      </w:pPr>
      <w:r/>
      <w:bookmarkStart w:id="118" w:name="_Toc17476"/>
      <w:r/>
      <w:bookmarkStart w:id="119" w:name="_Toc16264"/>
      <w:r/>
      <w:bookmarkStart w:id="120" w:name="_Toc698"/>
      <w:r>
        <w:rPr>
          <w:rFonts w:hint="eastAsia"/>
          <w:b/>
          <w:sz w:val="21"/>
          <w:szCs w:val="21"/>
        </w:rPr>
        <w:t xml:space="preserve">一、评审办法：</w:t>
      </w:r>
      <w:bookmarkEnd w:id="118"/>
      <w:r/>
      <w:bookmarkEnd w:id="119"/>
      <w:r/>
      <w:bookmarkEnd w:id="120"/>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hint="eastAsia"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1"/>
        </w:rPr>
        <w:t xml:space="preserve">及《关于印发&lt;苏州市政府采购促进中小企业发展实施意见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6"/>
        <w:ind w:left="0" w:firstLine="0"/>
      </w:pPr>
      <w:r/>
      <w:r/>
    </w:p>
    <w:p>
      <w:pPr>
        <w:ind w:left="0" w:firstLine="422"/>
        <w:jc w:val="left"/>
        <w:spacing w:line="360" w:lineRule="auto"/>
        <w:widowControl w:val="off"/>
        <w:rPr>
          <w:rFonts w:hint="eastAsia"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（一）价格分 (</w:t>
      </w:r>
      <w:r>
        <w:rPr>
          <w:rFonts w:ascii="宋体" w:hAnsi="宋体" w:cs="宋体"/>
          <w:b/>
          <w:bCs/>
          <w:sz w:val="21"/>
          <w:szCs w:val="21"/>
        </w:rPr>
        <w:t xml:space="preserve">10</w:t>
      </w:r>
      <w:r>
        <w:rPr>
          <w:rFonts w:hint="eastAsia" w:ascii="宋体" w:hAnsi="宋体" w:cs="宋体"/>
          <w:b/>
          <w:bCs/>
          <w:sz w:val="21"/>
          <w:szCs w:val="21"/>
        </w:rPr>
        <w:t xml:space="preserve">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磋商报价得分＝（磋商基准价/最终磋商报价）×价格权值×100（价格权值为1</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（二）技术实施方案（40分）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1.质控检查具体实施方案综合比较：10分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响应单位针对本项目的质控检查具体实施方案优于采购文件需求（如使用自动化设备替代人工），方案内容明确</w:t>
      </w:r>
      <w:r>
        <w:rPr>
          <w:rFonts w:cs="Calibri"/>
          <w:sz w:val="21"/>
          <w:szCs w:val="21"/>
        </w:rPr>
        <w:t xml:space="preserve">①</w:t>
      </w:r>
      <w:r>
        <w:rPr>
          <w:rFonts w:hint="eastAsia" w:ascii="宋体" w:hAnsi="宋体" w:cs="宋体"/>
          <w:sz w:val="21"/>
          <w:szCs w:val="21"/>
        </w:rPr>
        <w:t xml:space="preserve">质控检查单位规章制度制定情况</w:t>
      </w:r>
      <w:r>
        <w:rPr>
          <w:rFonts w:cs="Calibri"/>
          <w:sz w:val="21"/>
          <w:szCs w:val="21"/>
        </w:rPr>
        <w:t xml:space="preserve">②</w:t>
      </w:r>
      <w:r>
        <w:rPr>
          <w:rFonts w:hint="eastAsia" w:ascii="宋体" w:hAnsi="宋体" w:cs="宋体"/>
          <w:sz w:val="21"/>
          <w:szCs w:val="21"/>
        </w:rPr>
        <w:t xml:space="preserve">机构管理措施</w:t>
      </w:r>
      <w:r>
        <w:rPr>
          <w:rFonts w:cs="Calibri"/>
          <w:sz w:val="21"/>
          <w:szCs w:val="21"/>
        </w:rPr>
        <w:t xml:space="preserve">③</w:t>
      </w:r>
      <w:r>
        <w:rPr>
          <w:rFonts w:hint="eastAsia" w:ascii="宋体" w:hAnsi="宋体" w:cs="宋体"/>
          <w:sz w:val="21"/>
          <w:szCs w:val="21"/>
        </w:rPr>
        <w:t xml:space="preserve">人员管理措施</w:t>
      </w:r>
      <w:r>
        <w:rPr>
          <w:rFonts w:cs="Calibri"/>
          <w:sz w:val="21"/>
          <w:szCs w:val="21"/>
        </w:rPr>
        <w:t xml:space="preserve">④</w:t>
      </w:r>
      <w:r>
        <w:rPr>
          <w:rFonts w:hint="eastAsia" w:ascii="宋体" w:hAnsi="宋体" w:cs="宋体"/>
          <w:sz w:val="21"/>
          <w:szCs w:val="21"/>
        </w:rPr>
        <w:t xml:space="preserve">质控检查计划</w:t>
      </w:r>
      <w:r>
        <w:rPr>
          <w:rFonts w:cs="Calibri"/>
          <w:sz w:val="21"/>
          <w:szCs w:val="21"/>
        </w:rPr>
        <w:t xml:space="preserve">⑤</w:t>
      </w:r>
      <w:r>
        <w:rPr>
          <w:rFonts w:hint="eastAsia" w:ascii="宋体" w:hAnsi="宋体" w:cs="宋体"/>
          <w:sz w:val="21"/>
          <w:szCs w:val="21"/>
        </w:rPr>
        <w:t xml:space="preserve">详细人员培训计划等。</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方案内容全面、细致合理、可操作性强得10分；方案内容较全面、较合理，较够满足项目需要得7分；方案内容基本全面、基本合理，基本能够满足项目需要得4分；方案内容较差得1分，否则不得分。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2.应急预案方案综合比较：10分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提供的质控检查应急预案（含应急分类、判别与处置），对运营期间如出现严重影响系统运行和数据质量的重大问题时，以及出现车辆事故或故障，恶劣天气等无法按时保质完成质控检查任务时，是否具备有效的措施，并制定了异常数据监控制度和处理处置方法。</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预案方案制度健全，可操作性强的得10分；预案制度较完善、较可行得7分；预案制度基本完善，基本可行得4分；预案制度一般得1分，否则不得分。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3.针对本项目的质量保证控制措施综合比较：10分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针对每个监测指标检查时制定完善的的质控措施，针对性强、描述具体、可行的得10分；质控措施较完善、针对性较强、描述较具体、较可行得7分；质控措施基本完善，描述基本具体、基本可行得4分；质控措施不太可行得1分，否则不得分。 </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4.质控检查数据分析方案、措施综合比较：10分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针对质控检查的数据结果，响应单位具备完善的数据分析方法与对运维体系、运维单位有指导性建议数据结合分析方法与指导性建议针对性强、描述具体的得10分；针对性较强、描述较具体得7分；针对性基本可行、描述基本具体得4分；针对性和描述一般得1分，否则不得分。 </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（三）响应单位运维质控检查配置情况（33分） </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1.针对本项目技术人员配备：13分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（1）项目负责人：3分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具有国家环境空气自动监测运维技术人员考核合格证或省级及以上空气自动站上岗证得1分；具有环境类高级职称证得1分；具有项目管理师或PMP证书得1分，本项最高3分。</w:t>
      </w:r>
      <w:r/>
    </w:p>
    <w:p>
      <w:pPr>
        <w:ind w:left="0"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注：须提供相应证书及响应单位为其缴的近一期的社保证明复印件并加盖公章，否则不得分。</w:t>
      </w:r>
      <w:r/>
    </w:p>
    <w:p>
      <w:pPr>
        <w:numPr>
          <w:ilvl w:val="0"/>
          <w:numId w:val="4"/>
        </w:num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质控人员（除项目负责人）：8分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具有国家环境空气自动监测运维技术人员考核合格证或省级及以上空气自动站上岗证达6人的得6分，4-5人得3分；3人及3人以下不得分。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其中具有本科及以上学历且有相关气站数据监控、数据分析2年及以上工作经验的每个得1分，最高2分。</w:t>
      </w:r>
      <w:r/>
    </w:p>
    <w:p>
      <w:pPr>
        <w:ind w:left="400"/>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注：须提供相应证书及响应单位为其缴纳的社保证明复印件并加盖公章。</w:t>
      </w:r>
      <w:r/>
    </w:p>
    <w:p>
      <w:pPr>
        <w:numPr>
          <w:ilvl w:val="0"/>
          <w:numId w:val="4"/>
        </w:num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数据分析人员：2分</w:t>
      </w:r>
      <w:r/>
    </w:p>
    <w:p>
      <w:pPr>
        <w:ind w:left="420"/>
        <w:spacing w:line="360" w:lineRule="auto"/>
        <w:widowControl w:val="off"/>
        <w:rPr>
          <w:rFonts w:hint="eastAsia" w:ascii="宋体" w:hAnsi="宋体" w:cs="宋体"/>
          <w:sz w:val="21"/>
          <w:szCs w:val="21"/>
        </w:rPr>
      </w:pPr>
      <w:r>
        <w:rPr>
          <w:rFonts w:hint="eastAsia" w:ascii="宋体" w:hAnsi="宋体" w:cs="宋体"/>
          <w:sz w:val="21"/>
          <w:szCs w:val="21"/>
        </w:rPr>
        <w:t xml:space="preserve">具备研究生及以上学历的得2分</w:t>
      </w:r>
      <w:r/>
    </w:p>
    <w:p>
      <w:pPr>
        <w:ind w:left="0"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注：数据校核协调人员与质控人员不得重复，提供相关证书、响应单位为其缴纳的社保证明及数据分析工作经验证明材料复印件并加盖公章。</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2.针对本项目的车辆配备：5分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为本项目每配备1辆现场监管专用车得1分，最高得3分；具备网络巡检能力的得2分；本项最高评分得5分。</w:t>
      </w:r>
      <w:r/>
    </w:p>
    <w:p>
      <w:pPr>
        <w:ind w:left="0"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注：须提供车辆及仪器配备证明材料并加盖公章。</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3.针对本项目的设备配备：10分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每套质控单位配备巡查设备包含：标准气体、零气发生器、动态校准仪、臭氧校准仪及分析仪、监测比对设备（比对项目涵盖PM</w:t>
      </w:r>
      <w:r>
        <w:rPr>
          <w:rFonts w:hint="eastAsia" w:ascii="宋体" w:hAnsi="宋体" w:cs="宋体"/>
          <w:sz w:val="21"/>
          <w:szCs w:val="21"/>
          <w:vertAlign w:val="subscript"/>
        </w:rPr>
        <w:t xml:space="preserve">2.5</w:t>
      </w:r>
      <w:r>
        <w:rPr>
          <w:rFonts w:hint="eastAsia" w:ascii="宋体" w:hAnsi="宋体" w:cs="宋体"/>
          <w:sz w:val="21"/>
          <w:szCs w:val="21"/>
        </w:rPr>
        <w:t xml:space="preserve">、O</w:t>
      </w:r>
      <w:r>
        <w:rPr>
          <w:rFonts w:hint="eastAsia" w:ascii="宋体" w:hAnsi="宋体" w:cs="宋体"/>
          <w:sz w:val="21"/>
          <w:szCs w:val="21"/>
          <w:vertAlign w:val="subscript"/>
        </w:rPr>
        <w:t xml:space="preserve">3</w:t>
      </w:r>
      <w:r>
        <w:rPr>
          <w:rFonts w:hint="eastAsia" w:ascii="宋体" w:hAnsi="宋体" w:cs="宋体"/>
          <w:sz w:val="21"/>
          <w:szCs w:val="21"/>
        </w:rPr>
        <w:t xml:space="preserve">）、便携式颗粒物监测仪器等（监测项目涵盖 PM</w:t>
      </w:r>
      <w:r>
        <w:rPr>
          <w:rFonts w:hint="eastAsia" w:ascii="宋体" w:hAnsi="宋体" w:cs="宋体"/>
          <w:sz w:val="21"/>
          <w:szCs w:val="21"/>
          <w:vertAlign w:val="subscript"/>
        </w:rPr>
        <w:t xml:space="preserve">2.5</w:t>
      </w:r>
      <w:r>
        <w:rPr>
          <w:rFonts w:hint="eastAsia" w:ascii="宋体" w:hAnsi="宋体" w:cs="宋体"/>
          <w:sz w:val="21"/>
          <w:szCs w:val="21"/>
        </w:rPr>
        <w:t xml:space="preserve">、PM</w:t>
      </w:r>
      <w:r>
        <w:rPr>
          <w:rFonts w:hint="eastAsia" w:ascii="宋体" w:hAnsi="宋体" w:cs="宋体"/>
          <w:sz w:val="21"/>
          <w:szCs w:val="21"/>
          <w:vertAlign w:val="subscript"/>
        </w:rPr>
        <w:t xml:space="preserve">10</w:t>
      </w:r>
      <w:r>
        <w:rPr>
          <w:rFonts w:hint="eastAsia" w:ascii="宋体" w:hAnsi="宋体" w:cs="宋体"/>
          <w:sz w:val="21"/>
          <w:szCs w:val="21"/>
        </w:rPr>
        <w:t xml:space="preserve">指标）、颗粒物手工监测仪、PM</w:t>
      </w:r>
      <w:r>
        <w:rPr>
          <w:rFonts w:hint="eastAsia" w:ascii="宋体" w:hAnsi="宋体" w:cs="宋体"/>
          <w:sz w:val="21"/>
          <w:szCs w:val="21"/>
          <w:vertAlign w:val="subscript"/>
        </w:rPr>
        <w:t xml:space="preserve">2.5</w:t>
      </w:r>
      <w:r>
        <w:rPr>
          <w:rFonts w:hint="eastAsia" w:ascii="宋体" w:hAnsi="宋体" w:cs="宋体"/>
          <w:sz w:val="21"/>
          <w:szCs w:val="21"/>
        </w:rPr>
        <w:t xml:space="preserve">分析仪。每具备1套得5分（设备不全不得分），最高10分。</w:t>
      </w:r>
      <w:r/>
    </w:p>
    <w:p>
      <w:pPr>
        <w:ind w:left="0"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注：须提供产权证明（采购合同或发票），如无则提供采购意向协议并加盖公章。</w:t>
      </w:r>
      <w:r/>
    </w:p>
    <w:p>
      <w:pPr>
        <w:ind w:left="0" w:firstLine="422"/>
        <w:spacing w:line="360" w:lineRule="auto"/>
        <w:widowControl w:val="off"/>
        <w:rPr>
          <w:rFonts w:hint="eastAsia" w:ascii="宋体" w:hAnsi="宋体" w:cs="宋体"/>
          <w:b/>
          <w:bCs/>
          <w:sz w:val="21"/>
          <w:szCs w:val="21"/>
          <w:u w:val="single"/>
        </w:rPr>
      </w:pPr>
      <w:r>
        <w:rPr>
          <w:rFonts w:hint="eastAsia" w:ascii="宋体" w:hAnsi="宋体" w:cs="宋体"/>
          <w:b/>
          <w:bCs/>
          <w:sz w:val="21"/>
          <w:szCs w:val="21"/>
          <w:u w:val="single"/>
        </w:rPr>
        <w:t xml:space="preserve">注：若提供采购意向，中标后30天内核实设备配备情况，无法配备到位则取消中标资格。</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4.针对本项目质控实验室配备：5分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响应单位为本项目配备的质控实验室或委托实验室具有PM</w:t>
      </w:r>
      <w:r>
        <w:rPr>
          <w:rFonts w:hint="eastAsia" w:ascii="宋体" w:hAnsi="宋体" w:cs="宋体"/>
          <w:sz w:val="21"/>
          <w:szCs w:val="21"/>
          <w:vertAlign w:val="subscript"/>
        </w:rPr>
        <w:t xml:space="preserve">2.5</w:t>
      </w:r>
      <w:r>
        <w:rPr>
          <w:rFonts w:hint="eastAsia" w:ascii="宋体" w:hAnsi="宋体" w:cs="宋体"/>
          <w:sz w:val="21"/>
          <w:szCs w:val="21"/>
        </w:rPr>
        <w:t xml:space="preserve">、O</w:t>
      </w:r>
      <w:r>
        <w:rPr>
          <w:rFonts w:hint="eastAsia" w:ascii="宋体" w:hAnsi="宋体" w:cs="宋体"/>
          <w:sz w:val="21"/>
          <w:szCs w:val="21"/>
          <w:vertAlign w:val="subscript"/>
        </w:rPr>
        <w:t xml:space="preserve">3</w:t>
      </w:r>
      <w:r>
        <w:rPr>
          <w:rFonts w:hint="eastAsia" w:ascii="宋体" w:hAnsi="宋体" w:cs="宋体"/>
          <w:sz w:val="21"/>
          <w:szCs w:val="21"/>
        </w:rPr>
        <w:t xml:space="preserve">等检测能力且具备恒温恒湿自动称重系统，负责对检查设备开展量值溯源与传递，得5分。</w:t>
      </w:r>
      <w:r/>
    </w:p>
    <w:p>
      <w:pPr>
        <w:ind w:left="0" w:firstLine="422"/>
        <w:spacing w:line="360" w:lineRule="auto"/>
        <w:widowControl w:val="off"/>
        <w:rPr>
          <w:b/>
          <w:bCs/>
          <w:u w:val="single"/>
        </w:rPr>
      </w:pPr>
      <w:r>
        <w:rPr>
          <w:rFonts w:hint="eastAsia" w:ascii="宋体" w:hAnsi="宋体" w:cs="宋体"/>
          <w:b/>
          <w:bCs/>
          <w:sz w:val="21"/>
          <w:szCs w:val="21"/>
          <w:u w:val="single"/>
        </w:rPr>
        <w:t xml:space="preserve">注：投标文件中须提供证明材料或相关承诺原件并加盖公章。</w:t>
      </w:r>
      <w:r/>
    </w:p>
    <w:p>
      <w:pPr>
        <w:ind w:left="0" w:firstLine="42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（四）响应单位综合能力（17分）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1.具有有效期内的质量、环境、职业健康安全管理体系认证证书的，每项2分，最高6分。提供证书复印件及国家认监委网站查询证书有效的截图证明，否则不得分。</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2.具有有效期内的环境空气连续自动监测系统运营服务能力证书或信息技术服务管理体系认证证书（认证范围涵盖环境监测运维管理相关内容），得2分，最高2分，提供证书复印件。</w:t>
      </w:r>
      <w:r/>
    </w:p>
    <w:p>
      <w:pPr>
        <w:ind w:left="0" w:firstLine="420"/>
        <w:spacing w:line="360" w:lineRule="auto"/>
        <w:widowControl w:val="off"/>
        <w:rPr>
          <w:rFonts w:hint="eastAsia" w:ascii="宋体" w:hAnsi="宋体" w:cs="宋体"/>
          <w:sz w:val="21"/>
          <w:szCs w:val="21"/>
        </w:rPr>
      </w:pPr>
      <w:r>
        <w:rPr>
          <w:rFonts w:hint="eastAsia" w:ascii="宋体" w:hAnsi="宋体" w:cs="宋体"/>
          <w:sz w:val="21"/>
          <w:szCs w:val="21"/>
        </w:rPr>
        <w:t xml:space="preserve">3.同类业绩：9分</w:t>
      </w:r>
      <w:r/>
    </w:p>
    <w:p>
      <w:pPr>
        <w:ind w:left="0" w:firstLine="420"/>
        <w:spacing w:line="360" w:lineRule="auto"/>
        <w:widowControl w:val="off"/>
        <w:rPr>
          <w:rFonts w:hint="eastAsia" w:ascii="宋体" w:hAnsi="宋体" w:cs="宋体"/>
          <w:b/>
          <w:sz w:val="21"/>
          <w:szCs w:val="21"/>
        </w:rPr>
      </w:pPr>
      <w:r>
        <w:rPr>
          <w:rFonts w:hint="eastAsia" w:ascii="宋体" w:hAnsi="宋体" w:cs="宋体"/>
          <w:sz w:val="21"/>
          <w:szCs w:val="21"/>
        </w:rPr>
        <w:t xml:space="preserve">2023年至今签订的类似空气自动监测站的运维检查质控项目，每份业绩得3分，最高9分。提供合同及执行期内的任意一张发票复印件，合同须包括但不限于合同首页、主要内容页、签章页等，内容须包括但不限于服务合同名称、合同委托方单位名称、服务地所在省市、站点数量，服务时间等。销售仪器附带的运维、检查服务业绩不予认可。</w:t>
      </w:r>
      <w:r/>
    </w:p>
    <w:p>
      <w:pPr>
        <w:ind w:left="0" w:firstLine="422"/>
        <w:spacing w:line="360" w:lineRule="auto"/>
        <w:widowControl w:val="off"/>
        <w:rPr>
          <w:rFonts w:hint="eastAsia"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hint="eastAsia"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hint="eastAsia"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hint="eastAsia"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40"/>
                          </w:pPr>
                          <w:r>
                            <w:fldChar w:fldCharType="begin"/>
                          </w:r>
                          <w:r>
                            <w:instrText xml:space="preserve"> PAGE  \* MERGEFORMAT </w:instrText>
                          </w:r>
                          <w:r>
                            <w:fldChar w:fldCharType="separate"/>
                          </w:r>
                          <w:r>
                            <w:rPr>
                              <w:lang w:val="en-US"/>
                            </w:rPr>
                            <w:t xml:space="preserve">39</w:t>
                          </w:r>
                          <w:r>
                            <w:rPr>
                              <w:lang w:val="en-US"/>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40"/>
                    </w:pPr>
                    <w:r>
                      <w:fldChar w:fldCharType="begin"/>
                    </w:r>
                    <w:r>
                      <w:instrText xml:space="preserve"> PAGE  \* MERGEFORMAT </w:instrText>
                    </w:r>
                    <w:r>
                      <w:fldChar w:fldCharType="separate"/>
                    </w:r>
                    <w:r>
                      <w:rPr>
                        <w:lang w:val="en-US"/>
                      </w:rPr>
                      <w:t xml:space="preserve">39</w:t>
                    </w:r>
                    <w:r>
                      <w:rPr>
                        <w:lang w:val="en-US"/>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wps:spPr bwMode="auto">
                      <a:xfrm>
                        <a:off x="0" y="0"/>
                        <a:ext cx="64770" cy="154940"/>
                      </a:xfrm>
                      <a:prstGeom prst="rect">
                        <a:avLst/>
                      </a:prstGeom>
                      <a:ln>
                        <a:noFill/>
                      </a:ln>
                    </wps:spPr>
                    <wps:txbx>
                      <w:txbxContent>
                        <w:p>
                          <w:pPr>
                            <w:pStyle w:val="1040"/>
                            <w:ind w:firstLine="0"/>
                          </w:pPr>
                          <w:r>
                            <w:fldChar w:fldCharType="begin"/>
                          </w:r>
                          <w:r>
                            <w:instrText xml:space="preserve"> PAGE  \* MERGEFORMAT </w:instrText>
                          </w:r>
                          <w:r>
                            <w:fldChar w:fldCharType="separate"/>
                          </w:r>
                          <w:r>
                            <w:rPr>
                              <w:lang w:val="en-US"/>
                            </w:rPr>
                            <w:t xml:space="preserve">1</w:t>
                          </w:r>
                          <w:r>
                            <w:rPr>
                              <w:lang w:val="en-US"/>
                            </w:rP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v:textbox inset="0,0,0,0">
                <w:txbxContent>
                  <w:p>
                    <w:pPr>
                      <w:pStyle w:val="1040"/>
                      <w:ind w:firstLine="0"/>
                    </w:pPr>
                    <w:r>
                      <w:fldChar w:fldCharType="begin"/>
                    </w:r>
                    <w:r>
                      <w:instrText xml:space="preserve"> PAGE  \* MERGEFORMAT </w:instrText>
                    </w:r>
                    <w:r>
                      <w:fldChar w:fldCharType="separate"/>
                    </w:r>
                    <w:r>
                      <w:rPr>
                        <w:lang w:val="en-US"/>
                      </w:rPr>
                      <w:t xml:space="preserve">1</w:t>
                    </w:r>
                    <w:r>
                      <w:rPr>
                        <w:lang w:val="en-US"/>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wps:spPr bwMode="auto">
                      <a:xfrm>
                        <a:off x="0" y="0"/>
                        <a:ext cx="228600" cy="269875"/>
                      </a:xfrm>
                      <a:prstGeom prst="rect">
                        <a:avLst/>
                      </a:prstGeom>
                      <a:ln>
                        <a:noFill/>
                      </a:ln>
                    </wps:spPr>
                    <wps:txbx>
                      <w:txbxContent>
                        <w:p>
                          <w:pPr>
                            <w:pStyle w:val="1040"/>
                            <w:ind w:firstLine="0"/>
                          </w:pPr>
                          <w:r>
                            <w:fldChar w:fldCharType="begin"/>
                          </w:r>
                          <w:r>
                            <w:instrText xml:space="preserve"> PAGE  \* MERGEFORMAT </w:instrText>
                          </w:r>
                          <w:r>
                            <w:fldChar w:fldCharType="separate"/>
                          </w:r>
                          <w:r>
                            <w:rPr>
                              <w:lang w:val="en-US"/>
                            </w:rPr>
                            <w:t xml:space="preserve">5</w:t>
                          </w:r>
                          <w:r>
                            <w:rPr>
                              <w:lang w:val="en-US"/>
                            </w:rP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v:textbox inset="0,0,0,0">
                <w:txbxContent>
                  <w:p>
                    <w:pPr>
                      <w:pStyle w:val="1040"/>
                      <w:ind w:firstLine="0"/>
                    </w:pPr>
                    <w:r>
                      <w:fldChar w:fldCharType="begin"/>
                    </w:r>
                    <w:r>
                      <w:instrText xml:space="preserve"> PAGE  \* MERGEFORMAT </w:instrText>
                    </w:r>
                    <w:r>
                      <w:fldChar w:fldCharType="separate"/>
                    </w:r>
                    <w:r>
                      <w:rPr>
                        <w:lang w:val="en-US"/>
                      </w:rPr>
                      <w:t xml:space="preserve">5</w:t>
                    </w:r>
                    <w:r>
                      <w:rPr>
                        <w:lang w:val="en-US"/>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4770" cy="154940"/>
              <wp:effectExtent l="0" t="0" r="0" b="0"/>
              <wp:wrapNone/>
              <wp:docPr id="4" name="文本框 16"/>
              <wp:cNvGraphicFramePr/>
              <a:graphic xmlns:a="http://schemas.openxmlformats.org/drawingml/2006/main">
                <a:graphicData uri="http://schemas.microsoft.com/office/word/2010/wordprocessingShape">
                  <wps:wsp>
                    <wps:cNvPr id="0" name=""/>
                    <wps:cNvSpPr/>
                    <wps:spPr bwMode="auto">
                      <a:xfrm>
                        <a:off x="0" y="0"/>
                        <a:ext cx="64770" cy="154940"/>
                      </a:xfrm>
                      <a:prstGeom prst="rect">
                        <a:avLst/>
                      </a:prstGeom>
                      <a:ln>
                        <a:noFill/>
                      </a:ln>
                    </wps:spPr>
                    <wps:txbx>
                      <w:txbxContent>
                        <w:p>
                          <w:pPr>
                            <w:pStyle w:val="1040"/>
                            <w:ind w:firstLine="0"/>
                          </w:pPr>
                          <w:r>
                            <w:fldChar w:fldCharType="begin"/>
                          </w:r>
                          <w:r>
                            <w:instrText xml:space="preserve"> PAGE  \* MERGEFORMAT </w:instrText>
                          </w:r>
                          <w:r>
                            <w:fldChar w:fldCharType="separate"/>
                          </w:r>
                          <w:r>
                            <w:rPr>
                              <w:lang w:val="en-US"/>
                            </w:rPr>
                            <w:t xml:space="preserve">2</w:t>
                          </w:r>
                          <w:r>
                            <w:rPr>
                              <w:lang w:val="en-US"/>
                            </w:rPr>
                            <w:fldChar w:fldCharType="end"/>
                          </w:r>
                          <w:r/>
                        </w:p>
                      </w:txbxContent>
                    </wps:txbx>
                    <wps:bodyPr vert="horz" wrap="none" lIns="0" tIns="0" rIns="0" bIns="0" anchor="t">
                      <a:sp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v:textbox inset="0,0,0,0">
                <w:txbxContent>
                  <w:p>
                    <w:pPr>
                      <w:pStyle w:val="1040"/>
                      <w:ind w:firstLine="0"/>
                    </w:pPr>
                    <w:r>
                      <w:fldChar w:fldCharType="begin"/>
                    </w:r>
                    <w:r>
                      <w:instrText xml:space="preserve"> PAGE  \* MERGEFORMAT </w:instrText>
                    </w:r>
                    <w:r>
                      <w:fldChar w:fldCharType="separate"/>
                    </w:r>
                    <w:r>
                      <w:rPr>
                        <w:lang w:val="en-US"/>
                      </w:rPr>
                      <w:t xml:space="preserve">2</w:t>
                    </w:r>
                    <w:r>
                      <w:rPr>
                        <w:lang w:val="en-US"/>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46"/>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1046"/>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46"/>
        <w:ind w:firstLine="600"/>
        <w:spacing w:line="24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rPr>
      <w:t xml:space="preserve">苏州市诚源招投标代理有限公司</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JSZC-320500-SZSC-C2025-0023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1008"/>
    <w:link w:val="999"/>
    <w:uiPriority w:val="9"/>
    <w:rPr>
      <w:rFonts w:ascii="Arial" w:hAnsi="Arial" w:eastAsia="Arial" w:cs="Arial"/>
      <w:sz w:val="40"/>
      <w:szCs w:val="40"/>
    </w:rPr>
  </w:style>
  <w:style w:type="character" w:styleId="851">
    <w:name w:val="Heading 2 Char"/>
    <w:basedOn w:val="1008"/>
    <w:link w:val="1000"/>
    <w:uiPriority w:val="9"/>
    <w:rPr>
      <w:rFonts w:ascii="Arial" w:hAnsi="Arial" w:eastAsia="Arial" w:cs="Arial"/>
      <w:sz w:val="34"/>
    </w:rPr>
  </w:style>
  <w:style w:type="character" w:styleId="852">
    <w:name w:val="Heading 3 Char"/>
    <w:basedOn w:val="1008"/>
    <w:link w:val="1001"/>
    <w:uiPriority w:val="9"/>
    <w:rPr>
      <w:rFonts w:ascii="Arial" w:hAnsi="Arial" w:eastAsia="Arial" w:cs="Arial"/>
      <w:sz w:val="30"/>
      <w:szCs w:val="30"/>
    </w:rPr>
  </w:style>
  <w:style w:type="character" w:styleId="853">
    <w:name w:val="Heading 4 Char"/>
    <w:basedOn w:val="1008"/>
    <w:link w:val="1002"/>
    <w:uiPriority w:val="9"/>
    <w:rPr>
      <w:rFonts w:ascii="Arial" w:hAnsi="Arial" w:eastAsia="Arial" w:cs="Arial"/>
      <w:b/>
      <w:bCs/>
      <w:sz w:val="26"/>
      <w:szCs w:val="26"/>
    </w:rPr>
  </w:style>
  <w:style w:type="character" w:styleId="854">
    <w:name w:val="Heading 5 Char"/>
    <w:basedOn w:val="1008"/>
    <w:link w:val="1003"/>
    <w:uiPriority w:val="9"/>
    <w:rPr>
      <w:rFonts w:ascii="Arial" w:hAnsi="Arial" w:eastAsia="Arial" w:cs="Arial"/>
      <w:b/>
      <w:bCs/>
      <w:sz w:val="24"/>
      <w:szCs w:val="24"/>
    </w:rPr>
  </w:style>
  <w:style w:type="character" w:styleId="855">
    <w:name w:val="Heading 6 Char"/>
    <w:basedOn w:val="1008"/>
    <w:link w:val="1004"/>
    <w:uiPriority w:val="9"/>
    <w:rPr>
      <w:rFonts w:ascii="Arial" w:hAnsi="Arial" w:eastAsia="Arial" w:cs="Arial"/>
      <w:b/>
      <w:bCs/>
      <w:sz w:val="22"/>
      <w:szCs w:val="22"/>
    </w:rPr>
  </w:style>
  <w:style w:type="character" w:styleId="856">
    <w:name w:val="Heading 7 Char"/>
    <w:basedOn w:val="1008"/>
    <w:link w:val="1005"/>
    <w:uiPriority w:val="9"/>
    <w:rPr>
      <w:rFonts w:ascii="Arial" w:hAnsi="Arial" w:eastAsia="Arial" w:cs="Arial"/>
      <w:b/>
      <w:bCs/>
      <w:i/>
      <w:iCs/>
      <w:sz w:val="22"/>
      <w:szCs w:val="22"/>
    </w:rPr>
  </w:style>
  <w:style w:type="character" w:styleId="857">
    <w:name w:val="Heading 8 Char"/>
    <w:basedOn w:val="1008"/>
    <w:link w:val="1006"/>
    <w:uiPriority w:val="9"/>
    <w:rPr>
      <w:rFonts w:ascii="Arial" w:hAnsi="Arial" w:eastAsia="Arial" w:cs="Arial"/>
      <w:i/>
      <w:iCs/>
      <w:sz w:val="22"/>
      <w:szCs w:val="22"/>
    </w:rPr>
  </w:style>
  <w:style w:type="character" w:styleId="858">
    <w:name w:val="Heading 9 Char"/>
    <w:basedOn w:val="1008"/>
    <w:link w:val="100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998"/>
    <w:next w:val="998"/>
    <w:link w:val="861"/>
    <w:uiPriority w:val="10"/>
    <w:qFormat/>
    <w:pPr>
      <w:contextualSpacing/>
      <w:spacing w:before="300" w:after="200"/>
    </w:pPr>
    <w:rPr>
      <w:sz w:val="48"/>
      <w:szCs w:val="48"/>
    </w:rPr>
  </w:style>
  <w:style w:type="character" w:styleId="861">
    <w:name w:val="Title Char"/>
    <w:basedOn w:val="1008"/>
    <w:link w:val="860"/>
    <w:uiPriority w:val="10"/>
    <w:rPr>
      <w:sz w:val="48"/>
      <w:szCs w:val="48"/>
    </w:rPr>
  </w:style>
  <w:style w:type="character" w:styleId="862">
    <w:name w:val="Subtitle Char"/>
    <w:basedOn w:val="1008"/>
    <w:link w:val="1043"/>
    <w:uiPriority w:val="11"/>
    <w:rPr>
      <w:sz w:val="24"/>
      <w:szCs w:val="24"/>
    </w:rPr>
  </w:style>
  <w:style w:type="character" w:styleId="863">
    <w:name w:val="Quote Char"/>
    <w:link w:val="1390"/>
    <w:uiPriority w:val="29"/>
    <w:rPr>
      <w:i/>
    </w:rPr>
  </w:style>
  <w:style w:type="character" w:styleId="864">
    <w:name w:val="Intense Quote Char"/>
    <w:link w:val="1252"/>
    <w:uiPriority w:val="30"/>
    <w:rPr>
      <w:i/>
    </w:rPr>
  </w:style>
  <w:style w:type="character" w:styleId="865">
    <w:name w:val="Header Char"/>
    <w:basedOn w:val="1008"/>
    <w:link w:val="1041"/>
    <w:uiPriority w:val="99"/>
  </w:style>
  <w:style w:type="character" w:styleId="866">
    <w:name w:val="Footer Char"/>
    <w:basedOn w:val="1008"/>
    <w:link w:val="1040"/>
    <w:uiPriority w:val="99"/>
  </w:style>
  <w:style w:type="character" w:styleId="867">
    <w:name w:val="Caption Char"/>
    <w:basedOn w:val="1016"/>
    <w:link w:val="1040"/>
    <w:uiPriority w:val="99"/>
  </w:style>
  <w:style w:type="table" w:styleId="868">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46"/>
    <w:uiPriority w:val="99"/>
    <w:rPr>
      <w:sz w:val="18"/>
    </w:rPr>
  </w:style>
  <w:style w:type="character" w:styleId="994">
    <w:name w:val="Endnote Text Char"/>
    <w:link w:val="1037"/>
    <w:uiPriority w:val="99"/>
    <w:rPr>
      <w:sz w:val="20"/>
    </w:rPr>
  </w:style>
  <w:style w:type="character" w:styleId="995">
    <w:name w:val="endnote reference"/>
    <w:basedOn w:val="1008"/>
    <w:uiPriority w:val="99"/>
    <w:semiHidden/>
    <w:unhideWhenUsed/>
    <w:rPr>
      <w:vertAlign w:val="superscript"/>
    </w:r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10"/>
    <w:uiPriority w:val="0"/>
    <w:qFormat/>
    <w:pPr>
      <w:ind w:left="1024"/>
      <w:jc w:val="both"/>
    </w:pPr>
    <w:rPr>
      <w:rFonts w:ascii="Calibri" w:hAnsi="Calibri" w:eastAsia="宋体" w:cs="Times New Roman"/>
      <w:lang w:val="en-US" w:eastAsia="zh-CN" w:bidi="ar-SA"/>
    </w:rPr>
  </w:style>
  <w:style w:type="paragraph" w:styleId="999">
    <w:name w:val="Heading 1"/>
    <w:next w:val="998"/>
    <w:uiPriority w:val="9"/>
    <w:qFormat/>
    <w:pPr>
      <w:ind w:left="432" w:firstLine="18"/>
      <w:spacing w:before="340" w:after="330" w:line="578" w:lineRule="auto"/>
      <w:outlineLvl w:val="0"/>
    </w:pPr>
    <w:rPr>
      <w:rFonts w:ascii="Calibri" w:hAnsi="Calibri" w:eastAsia="宋体" w:cs="Times New Roman"/>
      <w:lang w:val="en-US" w:eastAsia="zh-CN" w:bidi="ar-SA"/>
    </w:rPr>
  </w:style>
  <w:style w:type="paragraph" w:styleId="1000">
    <w:name w:val="Heading 2"/>
    <w:basedOn w:val="999"/>
    <w:next w:val="998"/>
    <w:uiPriority w:val="9"/>
    <w:semiHidden/>
    <w:unhideWhenUsed/>
    <w:qFormat/>
    <w:pPr>
      <w:ind w:left="576" w:firstLine="24"/>
      <w:spacing w:before="260" w:after="260" w:line="416" w:lineRule="auto"/>
      <w:outlineLvl w:val="1"/>
    </w:pPr>
  </w:style>
  <w:style w:type="paragraph" w:styleId="1001">
    <w:name w:val="Heading 3"/>
    <w:basedOn w:val="999"/>
    <w:next w:val="998"/>
    <w:uiPriority w:val="9"/>
    <w:semiHidden/>
    <w:unhideWhenUsed/>
    <w:qFormat/>
    <w:pPr>
      <w:ind w:left="720"/>
      <w:spacing w:before="260" w:after="260" w:line="416" w:lineRule="auto"/>
      <w:outlineLvl w:val="2"/>
    </w:pPr>
  </w:style>
  <w:style w:type="paragraph" w:styleId="1002">
    <w:name w:val="Heading 4"/>
    <w:basedOn w:val="999"/>
    <w:next w:val="998"/>
    <w:uiPriority w:val="9"/>
    <w:semiHidden/>
    <w:unhideWhenUsed/>
    <w:qFormat/>
    <w:pPr>
      <w:ind w:left="864" w:firstLine="24"/>
      <w:spacing w:before="280" w:after="290" w:line="376" w:lineRule="auto"/>
      <w:outlineLvl w:val="3"/>
    </w:pPr>
  </w:style>
  <w:style w:type="paragraph" w:styleId="1003">
    <w:name w:val="Heading 5"/>
    <w:basedOn w:val="999"/>
    <w:next w:val="998"/>
    <w:uiPriority w:val="9"/>
    <w:semiHidden/>
    <w:unhideWhenUsed/>
    <w:qFormat/>
    <w:pPr>
      <w:ind w:left="1008"/>
      <w:spacing w:before="280" w:after="290" w:line="376" w:lineRule="auto"/>
      <w:outlineLvl w:val="4"/>
    </w:pPr>
  </w:style>
  <w:style w:type="paragraph" w:styleId="1004">
    <w:name w:val="Heading 6"/>
    <w:basedOn w:val="999"/>
    <w:next w:val="998"/>
    <w:uiPriority w:val="9"/>
    <w:semiHidden/>
    <w:unhideWhenUsed/>
    <w:qFormat/>
    <w:pPr>
      <w:ind w:left="1152" w:firstLine="20"/>
      <w:spacing w:before="240" w:after="64" w:line="320" w:lineRule="auto"/>
      <w:outlineLvl w:val="5"/>
    </w:pPr>
  </w:style>
  <w:style w:type="paragraph" w:styleId="1005">
    <w:name w:val="Heading 7"/>
    <w:basedOn w:val="999"/>
    <w:next w:val="998"/>
    <w:uiPriority w:val="0"/>
    <w:qFormat/>
    <w:pPr>
      <w:ind w:left="1296" w:firstLine="14"/>
      <w:spacing w:before="240" w:after="64" w:line="320" w:lineRule="auto"/>
      <w:outlineLvl w:val="6"/>
    </w:pPr>
  </w:style>
  <w:style w:type="paragraph" w:styleId="1006">
    <w:name w:val="Heading 8"/>
    <w:basedOn w:val="999"/>
    <w:next w:val="998"/>
    <w:uiPriority w:val="0"/>
    <w:qFormat/>
    <w:pPr>
      <w:ind w:left="1440"/>
      <w:spacing w:before="240" w:after="64" w:line="320" w:lineRule="auto"/>
      <w:outlineLvl w:val="7"/>
    </w:pPr>
  </w:style>
  <w:style w:type="paragraph" w:styleId="1007">
    <w:name w:val="Heading 9"/>
    <w:basedOn w:val="999"/>
    <w:next w:val="998"/>
    <w:uiPriority w:val="0"/>
    <w:qFormat/>
    <w:pPr>
      <w:ind w:left="1584" w:firstLine="22"/>
      <w:spacing w:before="240" w:after="64" w:line="320" w:lineRule="auto"/>
      <w:outlineLvl w:val="8"/>
    </w:pPr>
  </w:style>
  <w:style w:type="character" w:styleId="1008" w:default="1">
    <w:name w:val="Default Paragraph Font"/>
    <w:uiPriority w:val="1"/>
    <w:semiHidden/>
    <w:unhideWhenUsed/>
    <w:qFormat/>
  </w:style>
  <w:style w:type="table" w:styleId="1009" w:default="1">
    <w:name w:val="Normal Table"/>
    <w:uiPriority w:val="99"/>
    <w:semiHidden/>
    <w:unhideWhenUsed/>
    <w:qFormat/>
    <w:tblPr>
      <w:tblCellMar>
        <w:left w:w="108" w:type="dxa"/>
        <w:top w:w="0" w:type="dxa"/>
        <w:right w:w="108" w:type="dxa"/>
        <w:bottom w:w="0" w:type="dxa"/>
      </w:tblCellMar>
    </w:tblPr>
  </w:style>
  <w:style w:type="paragraph" w:styleId="1010" w:customStyle="1">
    <w:name w:val="段"/>
    <w:next w:val="998"/>
    <w:uiPriority w:val="0"/>
    <w:qFormat/>
    <w:pPr>
      <w:ind w:firstLine="200"/>
      <w:jc w:val="both"/>
    </w:pPr>
    <w:rPr>
      <w:rFonts w:ascii="宋体" w:hAnsi="Times New Roman" w:eastAsia="宋体" w:cs="Times New Roman"/>
      <w:sz w:val="21"/>
      <w:lang w:val="en-US" w:eastAsia="zh-CN" w:bidi="ar-SA"/>
    </w:rPr>
  </w:style>
  <w:style w:type="paragraph" w:styleId="1011">
    <w:name w:val="toc 7"/>
    <w:basedOn w:val="999"/>
    <w:next w:val="998"/>
    <w:uiPriority w:val="0"/>
    <w:qFormat/>
    <w:pPr>
      <w:ind w:left="1200" w:firstLine="0"/>
      <w:spacing w:before="0" w:after="0" w:line="240" w:lineRule="auto"/>
      <w:outlineLvl w:val="9"/>
    </w:pPr>
    <w:rPr>
      <w:rFonts w:cs="Calibri"/>
      <w:sz w:val="18"/>
      <w:szCs w:val="18"/>
    </w:rPr>
  </w:style>
  <w:style w:type="paragraph" w:styleId="1012">
    <w:name w:val="List Bullet 4"/>
    <w:basedOn w:val="999"/>
    <w:next w:val="1013"/>
    <w:uiPriority w:val="0"/>
    <w:qFormat/>
    <w:pPr>
      <w:ind w:left="1620" w:firstLine="2652"/>
      <w:spacing w:before="0" w:after="0" w:line="360" w:lineRule="auto"/>
    </w:pPr>
  </w:style>
  <w:style w:type="paragraph" w:styleId="1013">
    <w:name w:val="List Bullet 2"/>
    <w:basedOn w:val="999"/>
    <w:next w:val="998"/>
    <w:uiPriority w:val="0"/>
    <w:qFormat/>
    <w:pPr>
      <w:ind w:left="900" w:firstLine="2652"/>
      <w:spacing w:before="0" w:after="0" w:line="360" w:lineRule="auto"/>
    </w:pPr>
  </w:style>
  <w:style w:type="paragraph" w:styleId="1014">
    <w:name w:val="List Number"/>
    <w:basedOn w:val="999"/>
    <w:next w:val="998"/>
    <w:uiPriority w:val="0"/>
    <w:qFormat/>
    <w:pPr>
      <w:ind w:left="454" w:firstLine="2788"/>
      <w:spacing w:before="0" w:after="0" w:line="240" w:lineRule="auto"/>
    </w:pPr>
  </w:style>
  <w:style w:type="paragraph" w:styleId="1015">
    <w:name w:val="Normal Indent"/>
    <w:basedOn w:val="998"/>
    <w:link w:val="1068"/>
    <w:uiPriority w:val="0"/>
    <w:qFormat/>
    <w:pPr>
      <w:ind w:left="420" w:firstLine="4772"/>
    </w:pPr>
    <w:rPr>
      <w:lang w:val="zh-CN"/>
    </w:rPr>
  </w:style>
  <w:style w:type="paragraph" w:styleId="1016">
    <w:name w:val="Caption"/>
    <w:basedOn w:val="999"/>
    <w:next w:val="998"/>
    <w:uiPriority w:val="0"/>
    <w:qFormat/>
    <w:pPr>
      <w:ind w:left="200" w:firstLine="2248"/>
      <w:jc w:val="center"/>
      <w:spacing w:before="0" w:after="0" w:line="240" w:lineRule="auto"/>
    </w:pPr>
  </w:style>
  <w:style w:type="paragraph" w:styleId="1017">
    <w:name w:val="List Bullet"/>
    <w:basedOn w:val="999"/>
    <w:next w:val="998"/>
    <w:uiPriority w:val="0"/>
    <w:qFormat/>
    <w:pPr>
      <w:ind w:left="900" w:firstLine="2652"/>
      <w:spacing w:before="0" w:after="0" w:line="360" w:lineRule="auto"/>
    </w:pPr>
  </w:style>
  <w:style w:type="paragraph" w:styleId="1018">
    <w:name w:val="Document Map"/>
    <w:basedOn w:val="999"/>
    <w:next w:val="1019"/>
    <w:uiPriority w:val="0"/>
    <w:qFormat/>
    <w:pPr>
      <w:ind w:left="0" w:firstLine="4"/>
      <w:spacing w:before="0" w:after="0" w:line="240" w:lineRule="auto"/>
      <w:shd w:val="clear" w:color="000000" w:fill="000080"/>
    </w:pPr>
  </w:style>
  <w:style w:type="paragraph" w:styleId="1019">
    <w:name w:val="annotation subject"/>
    <w:next w:val="998"/>
    <w:uiPriority w:val="0"/>
    <w:qFormat/>
    <w:pPr>
      <w:ind w:firstLine="4608"/>
      <w:spacing w:line="360" w:lineRule="auto"/>
    </w:pPr>
    <w:rPr>
      <w:rFonts w:ascii="Calibri" w:hAnsi="Calibri" w:eastAsia="宋体" w:cs="Times New Roman"/>
      <w:lang w:val="en-US" w:eastAsia="zh-CN" w:bidi="ar-SA"/>
    </w:rPr>
  </w:style>
  <w:style w:type="paragraph" w:styleId="1020">
    <w:name w:val="annotation text"/>
    <w:basedOn w:val="998"/>
    <w:next w:val="998"/>
    <w:uiPriority w:val="0"/>
    <w:qFormat/>
    <w:pPr>
      <w:ind w:left="0" w:firstLine="3584"/>
      <w:spacing w:line="360" w:lineRule="auto"/>
    </w:pPr>
  </w:style>
  <w:style w:type="paragraph" w:styleId="1021">
    <w:name w:val="Body Text 3"/>
    <w:basedOn w:val="999"/>
    <w:next w:val="998"/>
    <w:uiPriority w:val="0"/>
    <w:qFormat/>
    <w:pPr>
      <w:ind w:left="0" w:firstLine="2048"/>
      <w:spacing w:before="0" w:after="0" w:line="500" w:lineRule="exact"/>
    </w:pPr>
  </w:style>
  <w:style w:type="paragraph" w:styleId="1022">
    <w:name w:val="List Bullet 3"/>
    <w:basedOn w:val="999"/>
    <w:next w:val="998"/>
    <w:uiPriority w:val="0"/>
    <w:qFormat/>
    <w:pPr>
      <w:ind w:left="900" w:firstLine="2652"/>
      <w:spacing w:before="0" w:after="0" w:line="360" w:lineRule="auto"/>
    </w:pPr>
  </w:style>
  <w:style w:type="paragraph" w:styleId="1023">
    <w:name w:val="Body Text"/>
    <w:basedOn w:val="998"/>
    <w:next w:val="1015"/>
    <w:uiPriority w:val="0"/>
    <w:qFormat/>
    <w:pPr>
      <w:ind w:left="0" w:firstLine="2560"/>
    </w:pPr>
  </w:style>
  <w:style w:type="paragraph" w:styleId="1024">
    <w:name w:val="Body Text Indent"/>
    <w:basedOn w:val="998"/>
    <w:uiPriority w:val="0"/>
    <w:qFormat/>
    <w:pPr>
      <w:ind w:left="420" w:firstLine="1188"/>
      <w:spacing w:line="360" w:lineRule="exact"/>
    </w:pPr>
  </w:style>
  <w:style w:type="paragraph" w:styleId="1025">
    <w:name w:val="List Number 3"/>
    <w:basedOn w:val="999"/>
    <w:next w:val="998"/>
    <w:uiPriority w:val="0"/>
    <w:qFormat/>
    <w:pPr>
      <w:ind w:left="420" w:firstLine="3584"/>
      <w:spacing w:before="0" w:after="0" w:line="240" w:lineRule="auto"/>
    </w:pPr>
  </w:style>
  <w:style w:type="paragraph" w:styleId="1026">
    <w:name w:val="List 2"/>
    <w:basedOn w:val="999"/>
    <w:next w:val="1011"/>
    <w:uiPriority w:val="0"/>
    <w:qFormat/>
    <w:pPr>
      <w:ind w:left="100" w:firstLine="3640"/>
      <w:spacing w:before="0" w:after="0" w:line="240" w:lineRule="auto"/>
    </w:pPr>
  </w:style>
  <w:style w:type="paragraph" w:styleId="1027">
    <w:name w:val="Block Text"/>
    <w:basedOn w:val="999"/>
    <w:next w:val="998"/>
    <w:uiPriority w:val="0"/>
    <w:qFormat/>
    <w:pPr>
      <w:ind w:left="420" w:right="33" w:firstLine="2560"/>
      <w:spacing w:before="0" w:after="0" w:line="240" w:lineRule="auto"/>
    </w:pPr>
  </w:style>
  <w:style w:type="paragraph" w:styleId="1028">
    <w:name w:val="toc 5"/>
    <w:basedOn w:val="999"/>
    <w:next w:val="998"/>
    <w:uiPriority w:val="0"/>
    <w:qFormat/>
    <w:pPr>
      <w:ind w:left="800" w:firstLine="0"/>
      <w:spacing w:before="0" w:after="0" w:line="240" w:lineRule="auto"/>
      <w:outlineLvl w:val="9"/>
    </w:pPr>
    <w:rPr>
      <w:rFonts w:cs="Calibri"/>
      <w:sz w:val="18"/>
      <w:szCs w:val="18"/>
    </w:rPr>
  </w:style>
  <w:style w:type="paragraph" w:styleId="1029">
    <w:name w:val="toc 3"/>
    <w:basedOn w:val="999"/>
    <w:next w:val="998"/>
    <w:uiPriority w:val="39"/>
    <w:qFormat/>
    <w:pPr>
      <w:ind w:left="400" w:firstLine="0"/>
      <w:spacing w:before="0" w:after="0" w:line="240" w:lineRule="auto"/>
      <w:outlineLvl w:val="9"/>
    </w:pPr>
    <w:rPr>
      <w:rFonts w:cs="Calibri"/>
      <w:i/>
      <w:iCs/>
    </w:rPr>
  </w:style>
  <w:style w:type="paragraph" w:styleId="1030">
    <w:name w:val="Plain Text"/>
    <w:basedOn w:val="999"/>
    <w:next w:val="1031"/>
    <w:link w:val="1069"/>
    <w:uiPriority w:val="0"/>
    <w:qFormat/>
    <w:pPr>
      <w:ind w:left="0" w:firstLine="2048"/>
      <w:spacing w:before="0" w:after="0" w:line="240" w:lineRule="auto"/>
    </w:pPr>
    <w:rPr>
      <w:lang w:val="zh-CN"/>
    </w:rPr>
  </w:style>
  <w:style w:type="paragraph" w:styleId="1031">
    <w:name w:val="toc 1"/>
    <w:basedOn w:val="999"/>
    <w:next w:val="998"/>
    <w:uiPriority w:val="39"/>
    <w:qFormat/>
    <w:pPr>
      <w:ind w:left="0" w:firstLine="0"/>
      <w:spacing w:before="120" w:after="120" w:line="240" w:lineRule="auto"/>
      <w:outlineLvl w:val="9"/>
    </w:pPr>
    <w:rPr>
      <w:rFonts w:cs="Calibri"/>
      <w:b/>
      <w:bCs/>
      <w:caps/>
    </w:rPr>
  </w:style>
  <w:style w:type="paragraph" w:styleId="1032">
    <w:name w:val="List Bullet 5"/>
    <w:basedOn w:val="999"/>
    <w:next w:val="1033"/>
    <w:uiPriority w:val="0"/>
    <w:qFormat/>
    <w:pPr>
      <w:ind w:left="2040" w:firstLine="2560"/>
      <w:spacing w:before="0" w:after="0" w:line="360" w:lineRule="auto"/>
    </w:pPr>
  </w:style>
  <w:style w:type="paragraph" w:styleId="1033" w:customStyle="1">
    <w:name w:val="正文首行缩进1"/>
    <w:next w:val="1025"/>
    <w:uiPriority w:val="0"/>
    <w:qFormat/>
    <w:pPr>
      <w:ind w:left="420" w:firstLine="2724"/>
      <w:spacing w:after="120" w:line="360" w:lineRule="auto"/>
    </w:pPr>
    <w:rPr>
      <w:rFonts w:ascii="Calibri" w:hAnsi="Calibri" w:eastAsia="宋体" w:cs="Times New Roman"/>
      <w:lang w:val="en-US" w:eastAsia="zh-CN" w:bidi="ar-SA"/>
    </w:rPr>
  </w:style>
  <w:style w:type="paragraph" w:styleId="1034">
    <w:name w:val="toc 8"/>
    <w:basedOn w:val="999"/>
    <w:next w:val="998"/>
    <w:uiPriority w:val="0"/>
    <w:qFormat/>
    <w:pPr>
      <w:ind w:left="1400" w:firstLine="0"/>
      <w:spacing w:before="0" w:after="0" w:line="240" w:lineRule="auto"/>
      <w:outlineLvl w:val="9"/>
    </w:pPr>
    <w:rPr>
      <w:rFonts w:cs="Calibri"/>
      <w:sz w:val="18"/>
      <w:szCs w:val="18"/>
    </w:rPr>
  </w:style>
  <w:style w:type="paragraph" w:styleId="1035">
    <w:name w:val="Date"/>
    <w:basedOn w:val="999"/>
    <w:next w:val="998"/>
    <w:uiPriority w:val="0"/>
    <w:qFormat/>
    <w:pPr>
      <w:ind w:left="0" w:firstLine="2560"/>
      <w:spacing w:before="0" w:after="0" w:line="240" w:lineRule="auto"/>
    </w:pPr>
  </w:style>
  <w:style w:type="paragraph" w:styleId="1036">
    <w:name w:val="Body Text Indent 2"/>
    <w:basedOn w:val="999"/>
    <w:next w:val="1024"/>
    <w:uiPriority w:val="0"/>
    <w:qFormat/>
    <w:pPr>
      <w:ind w:left="481" w:firstLine="2784"/>
      <w:spacing w:before="0" w:after="0" w:line="400" w:lineRule="exact"/>
    </w:pPr>
  </w:style>
  <w:style w:type="paragraph" w:styleId="1037">
    <w:name w:val="endnote text"/>
    <w:basedOn w:val="999"/>
    <w:next w:val="1038"/>
    <w:uiPriority w:val="0"/>
    <w:qFormat/>
    <w:pPr>
      <w:ind w:left="0" w:firstLine="2560"/>
      <w:spacing w:before="0" w:after="0" w:line="360" w:lineRule="auto"/>
    </w:pPr>
  </w:style>
  <w:style w:type="paragraph" w:styleId="1038" w:customStyle="1">
    <w:name w:val="Char11"/>
    <w:basedOn w:val="999"/>
    <w:next w:val="998"/>
    <w:uiPriority w:val="0"/>
    <w:qFormat/>
    <w:pPr>
      <w:ind w:left="0" w:firstLine="3584"/>
      <w:spacing w:before="0" w:after="0" w:line="240" w:lineRule="auto"/>
    </w:pPr>
  </w:style>
  <w:style w:type="paragraph" w:styleId="1039">
    <w:name w:val="Balloon Text"/>
    <w:basedOn w:val="999"/>
    <w:next w:val="1014"/>
    <w:uiPriority w:val="0"/>
    <w:qFormat/>
    <w:pPr>
      <w:ind w:left="0" w:firstLine="2048"/>
      <w:spacing w:before="0" w:after="0" w:line="240" w:lineRule="auto"/>
    </w:pPr>
  </w:style>
  <w:style w:type="paragraph" w:styleId="1040">
    <w:name w:val="Footer"/>
    <w:basedOn w:val="998"/>
    <w:link w:val="1070"/>
    <w:uiPriority w:val="99"/>
    <w:qFormat/>
    <w:pPr>
      <w:ind w:left="0" w:firstLine="3584"/>
    </w:pPr>
    <w:rPr>
      <w:lang w:val="zh-CN"/>
    </w:rPr>
  </w:style>
  <w:style w:type="paragraph" w:styleId="1041">
    <w:name w:val="Header"/>
    <w:basedOn w:val="999"/>
    <w:next w:val="1035"/>
    <w:link w:val="1071"/>
    <w:uiPriority w:val="99"/>
    <w:qFormat/>
    <w:pPr>
      <w:ind w:left="0" w:firstLine="3584"/>
      <w:jc w:val="center"/>
      <w:spacing w:before="0" w:after="0" w:line="240" w:lineRule="auto"/>
    </w:pPr>
    <w:rPr>
      <w:lang w:val="zh-CN"/>
    </w:rPr>
  </w:style>
  <w:style w:type="paragraph" w:styleId="1042">
    <w:name w:val="toc 4"/>
    <w:basedOn w:val="999"/>
    <w:next w:val="998"/>
    <w:uiPriority w:val="0"/>
    <w:qFormat/>
    <w:pPr>
      <w:ind w:left="600" w:firstLine="0"/>
      <w:spacing w:before="0" w:after="0" w:line="240" w:lineRule="auto"/>
      <w:outlineLvl w:val="9"/>
    </w:pPr>
    <w:rPr>
      <w:rFonts w:cs="Calibri"/>
      <w:sz w:val="18"/>
      <w:szCs w:val="18"/>
    </w:rPr>
  </w:style>
  <w:style w:type="paragraph" w:styleId="1043">
    <w:name w:val="Subtitle"/>
    <w:next w:val="998"/>
    <w:uiPriority w:val="11"/>
    <w:qFormat/>
    <w:pPr>
      <w:ind w:left="1024"/>
      <w:jc w:val="center"/>
      <w:spacing w:after="60"/>
    </w:pPr>
    <w:rPr>
      <w:rFonts w:ascii="Calibri" w:hAnsi="Calibri" w:eastAsia="宋体" w:cs="Times New Roman"/>
      <w:lang w:val="en-US" w:eastAsia="zh-CN" w:bidi="ar-SA"/>
    </w:rPr>
  </w:style>
  <w:style w:type="paragraph" w:styleId="1044">
    <w:name w:val="List"/>
    <w:basedOn w:val="999"/>
    <w:next w:val="1045"/>
    <w:uiPriority w:val="0"/>
    <w:qFormat/>
    <w:pPr>
      <w:ind w:left="200" w:firstLine="3640"/>
      <w:spacing w:before="0" w:after="0" w:line="240" w:lineRule="auto"/>
    </w:pPr>
  </w:style>
  <w:style w:type="paragraph" w:styleId="1045">
    <w:name w:val="Body Text First Indent"/>
    <w:basedOn w:val="1023"/>
    <w:uiPriority w:val="0"/>
    <w:qFormat/>
    <w:pPr>
      <w:ind w:left="420" w:firstLine="3748"/>
      <w:spacing w:after="120"/>
    </w:pPr>
  </w:style>
  <w:style w:type="paragraph" w:styleId="1046">
    <w:name w:val="footnote text"/>
    <w:basedOn w:val="999"/>
    <w:next w:val="1027"/>
    <w:uiPriority w:val="0"/>
    <w:qFormat/>
    <w:pPr>
      <w:ind w:left="0" w:firstLine="3584"/>
      <w:spacing w:before="0" w:after="0" w:line="360" w:lineRule="auto"/>
    </w:pPr>
  </w:style>
  <w:style w:type="paragraph" w:styleId="1047">
    <w:name w:val="toc 6"/>
    <w:basedOn w:val="999"/>
    <w:next w:val="998"/>
    <w:uiPriority w:val="0"/>
    <w:qFormat/>
    <w:pPr>
      <w:ind w:left="1000" w:firstLine="0"/>
      <w:spacing w:before="0" w:after="0" w:line="240" w:lineRule="auto"/>
      <w:outlineLvl w:val="9"/>
    </w:pPr>
    <w:rPr>
      <w:rFonts w:cs="Calibri"/>
      <w:sz w:val="18"/>
      <w:szCs w:val="18"/>
    </w:rPr>
  </w:style>
  <w:style w:type="paragraph" w:styleId="1048">
    <w:name w:val="List 5"/>
    <w:basedOn w:val="999"/>
    <w:next w:val="1023"/>
    <w:uiPriority w:val="0"/>
    <w:qFormat/>
    <w:pPr>
      <w:ind w:left="2100" w:firstLine="3676"/>
      <w:spacing w:before="0" w:after="0" w:line="240" w:lineRule="auto"/>
    </w:pPr>
  </w:style>
  <w:style w:type="paragraph" w:styleId="1049">
    <w:name w:val="Body Text Indent 3"/>
    <w:basedOn w:val="999"/>
    <w:next w:val="1047"/>
    <w:uiPriority w:val="0"/>
    <w:qFormat/>
    <w:pPr>
      <w:ind w:left="480" w:firstLine="2784"/>
      <w:spacing w:before="0" w:after="0" w:line="400" w:lineRule="exact"/>
    </w:pPr>
  </w:style>
  <w:style w:type="paragraph" w:styleId="1050">
    <w:name w:val="toc 2"/>
    <w:basedOn w:val="999"/>
    <w:next w:val="998"/>
    <w:uiPriority w:val="39"/>
    <w:qFormat/>
    <w:pPr>
      <w:ind w:left="200" w:firstLine="0"/>
      <w:spacing w:before="0" w:after="0" w:line="240" w:lineRule="auto"/>
      <w:outlineLvl w:val="9"/>
    </w:pPr>
    <w:rPr>
      <w:rFonts w:cs="Calibri"/>
      <w:smallCaps/>
    </w:rPr>
  </w:style>
  <w:style w:type="paragraph" w:styleId="1051">
    <w:name w:val="toc 9"/>
    <w:basedOn w:val="999"/>
    <w:next w:val="998"/>
    <w:uiPriority w:val="0"/>
    <w:qFormat/>
    <w:pPr>
      <w:ind w:left="1600" w:firstLine="0"/>
      <w:spacing w:before="0" w:after="0" w:line="240" w:lineRule="auto"/>
      <w:outlineLvl w:val="9"/>
    </w:pPr>
    <w:rPr>
      <w:rFonts w:cs="Calibri"/>
      <w:sz w:val="18"/>
      <w:szCs w:val="18"/>
    </w:rPr>
  </w:style>
  <w:style w:type="paragraph" w:styleId="1052">
    <w:name w:val="Body Text 2"/>
    <w:basedOn w:val="999"/>
    <w:next w:val="1017"/>
    <w:uiPriority w:val="0"/>
    <w:qFormat/>
    <w:pPr>
      <w:ind w:left="0" w:firstLine="1024"/>
      <w:spacing w:before="0" w:after="120" w:line="480" w:lineRule="auto"/>
    </w:pPr>
  </w:style>
  <w:style w:type="paragraph" w:styleId="1053">
    <w:name w:val="HTML Preformatted"/>
    <w:basedOn w:val="999"/>
    <w:next w:val="1016"/>
    <w:uiPriority w:val="0"/>
    <w:qFormat/>
    <w:pPr>
      <w:ind w:left="0" w:firstLine="2048"/>
      <w:spacing w:before="0" w:after="0" w:line="253" w:lineRule="atLeast"/>
    </w:pPr>
  </w:style>
  <w:style w:type="paragraph" w:styleId="1054">
    <w:name w:val="Normal (Web)"/>
    <w:basedOn w:val="998"/>
    <w:uiPriority w:val="0"/>
    <w:qFormat/>
    <w:pPr>
      <w:ind w:left="15" w:right="15" w:firstLine="4608"/>
      <w:spacing w:before="60" w:after="60" w:line="312" w:lineRule="auto"/>
    </w:pPr>
  </w:style>
  <w:style w:type="paragraph" w:styleId="1055">
    <w:name w:val="index 1"/>
    <w:basedOn w:val="999"/>
    <w:next w:val="998"/>
    <w:uiPriority w:val="0"/>
    <w:qFormat/>
    <w:pPr>
      <w:ind w:left="0" w:firstLine="3584"/>
      <w:spacing w:before="0" w:after="0" w:line="240" w:lineRule="auto"/>
    </w:pPr>
  </w:style>
  <w:style w:type="paragraph" w:styleId="1056">
    <w:name w:val="Body Text First Indent 2"/>
    <w:basedOn w:val="1024"/>
    <w:uiPriority w:val="99"/>
    <w:qFormat/>
    <w:pPr>
      <w:ind w:left="200" w:firstLine="420"/>
      <w:spacing w:after="120"/>
      <w:widowControl w:val="off"/>
    </w:pPr>
    <w:rPr>
      <w:sz w:val="21"/>
    </w:rPr>
  </w:style>
  <w:style w:type="table" w:styleId="105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0"/>
    <w:qFormat/>
    <w:rPr>
      <w:b/>
      <w:sz w:val="20"/>
    </w:rPr>
  </w:style>
  <w:style w:type="character" w:styleId="1059">
    <w:name w:val="page number"/>
    <w:uiPriority w:val="0"/>
    <w:qFormat/>
    <w:rPr>
      <w:sz w:val="20"/>
    </w:rPr>
  </w:style>
  <w:style w:type="character" w:styleId="1060">
    <w:name w:val="Emphasis"/>
    <w:uiPriority w:val="0"/>
    <w:qFormat/>
    <w:rPr>
      <w:i/>
      <w:sz w:val="21"/>
    </w:rPr>
  </w:style>
  <w:style w:type="character" w:styleId="1061">
    <w:name w:val="Hyperlink"/>
    <w:uiPriority w:val="99"/>
    <w:qFormat/>
    <w:rPr>
      <w:color w:val="0000ff"/>
      <w:sz w:val="20"/>
      <w:u w:val="single"/>
    </w:rPr>
  </w:style>
  <w:style w:type="character" w:styleId="1062">
    <w:name w:val="annotation reference"/>
    <w:uiPriority w:val="0"/>
    <w:qFormat/>
    <w:rPr>
      <w:sz w:val="20"/>
    </w:rPr>
  </w:style>
  <w:style w:type="character" w:styleId="1063">
    <w:name w:val="footnote reference"/>
    <w:uiPriority w:val="0"/>
    <w:qFormat/>
    <w:rPr>
      <w:vertAlign w:val="superscript"/>
    </w:rPr>
  </w:style>
  <w:style w:type="paragraph" w:styleId="1064" w:customStyle="1">
    <w:name w:val="Char Char Char Char Char Char Char Char Char Char Char Char Char"/>
    <w:basedOn w:val="999"/>
    <w:next w:val="998"/>
    <w:uiPriority w:val="0"/>
    <w:qFormat/>
    <w:pPr>
      <w:ind w:left="0" w:firstLine="3584"/>
      <w:spacing w:before="0" w:after="160" w:line="240" w:lineRule="exact"/>
    </w:pPr>
  </w:style>
  <w:style w:type="paragraph" w:styleId="1065">
    <w:name w:val="List Paragraph"/>
    <w:basedOn w:val="998"/>
    <w:link w:val="1408"/>
    <w:uiPriority w:val="0"/>
    <w:qFormat/>
    <w:pPr>
      <w:ind w:left="420" w:firstLine="3748"/>
    </w:pPr>
  </w:style>
  <w:style w:type="paragraph" w:styleId="1066" w:customStyle="1">
    <w:name w:val="xl91"/>
    <w:basedOn w:val="999"/>
    <w:next w:val="1067"/>
    <w:uiPriority w:val="0"/>
    <w:qFormat/>
    <w:pPr>
      <w:ind w:left="0" w:firstLine="3584"/>
      <w:spacing w:before="280" w:after="280" w:line="240" w:lineRule="auto"/>
    </w:pPr>
  </w:style>
  <w:style w:type="paragraph" w:styleId="1067" w:customStyle="1">
    <w:name w:val="xl76"/>
    <w:basedOn w:val="999"/>
    <w:next w:val="1052"/>
    <w:uiPriority w:val="0"/>
    <w:qFormat/>
    <w:pPr>
      <w:ind w:left="0" w:firstLine="3584"/>
      <w:jc w:val="center"/>
      <w:spacing w:before="280" w:after="280" w:line="240" w:lineRule="auto"/>
    </w:pPr>
  </w:style>
  <w:style w:type="character" w:styleId="1068" w:customStyle="1">
    <w:name w:val="正文缩进 字符"/>
    <w:link w:val="1015"/>
    <w:uiPriority w:val="0"/>
    <w:qFormat/>
    <w:rPr>
      <w:rFonts w:ascii="Calibri" w:hAnsi="Calibri"/>
    </w:rPr>
  </w:style>
  <w:style w:type="character" w:styleId="1069" w:customStyle="1">
    <w:name w:val="纯文本 字符"/>
    <w:link w:val="1030"/>
    <w:uiPriority w:val="0"/>
    <w:qFormat/>
    <w:rPr>
      <w:rFonts w:ascii="Calibri" w:hAnsi="Calibri"/>
    </w:rPr>
  </w:style>
  <w:style w:type="character" w:styleId="1070" w:customStyle="1">
    <w:name w:val="页脚 字符"/>
    <w:link w:val="1040"/>
    <w:uiPriority w:val="99"/>
    <w:qFormat/>
    <w:rPr>
      <w:rFonts w:ascii="Calibri" w:hAnsi="Calibri"/>
    </w:rPr>
  </w:style>
  <w:style w:type="character" w:styleId="1071" w:customStyle="1">
    <w:name w:val="页眉 字符"/>
    <w:link w:val="1041"/>
    <w:uiPriority w:val="99"/>
    <w:qFormat/>
    <w:rPr>
      <w:rFonts w:ascii="Calibri" w:hAnsi="Calibri"/>
    </w:rPr>
  </w:style>
  <w:style w:type="character" w:styleId="1072" w:customStyle="1">
    <w:name w:val="已访问的超链接1"/>
    <w:uiPriority w:val="0"/>
    <w:qFormat/>
    <w:rPr>
      <w:color w:val="800080"/>
      <w:sz w:val="20"/>
      <w:u w:val="single"/>
    </w:rPr>
  </w:style>
  <w:style w:type="character" w:styleId="1073" w:customStyle="1">
    <w:name w:val="图注 Char Char"/>
    <w:uiPriority w:val="0"/>
    <w:qFormat/>
    <w:rPr>
      <w:sz w:val="20"/>
    </w:rPr>
  </w:style>
  <w:style w:type="character" w:styleId="1074" w:customStyle="1">
    <w:name w:val="图片0 Char Char"/>
    <w:uiPriority w:val="0"/>
    <w:qFormat/>
    <w:rPr>
      <w:sz w:val="20"/>
    </w:rPr>
  </w:style>
  <w:style w:type="character" w:styleId="1075" w:customStyle="1">
    <w:name w:val="p141"/>
    <w:uiPriority w:val="0"/>
    <w:qFormat/>
    <w:rPr>
      <w:color w:val="000000"/>
      <w:sz w:val="20"/>
      <w:u w:val="none"/>
    </w:rPr>
  </w:style>
  <w:style w:type="character" w:styleId="1076" w:customStyle="1">
    <w:name w:val="批注框文本 字符"/>
    <w:uiPriority w:val="0"/>
    <w:qFormat/>
    <w:rPr>
      <w:sz w:val="20"/>
    </w:rPr>
  </w:style>
  <w:style w:type="character" w:styleId="1077" w:customStyle="1">
    <w:name w:val="正文文本缩进 3 Char"/>
    <w:uiPriority w:val="0"/>
    <w:qFormat/>
    <w:rPr>
      <w:sz w:val="20"/>
    </w:rPr>
  </w:style>
  <w:style w:type="character" w:styleId="1078" w:customStyle="1">
    <w:name w:val="标题 6 Char1"/>
    <w:uiPriority w:val="0"/>
    <w:qFormat/>
    <w:rPr>
      <w:b/>
      <w:sz w:val="20"/>
    </w:rPr>
  </w:style>
  <w:style w:type="character" w:styleId="1079" w:customStyle="1">
    <w:name w:val="正文文本缩进 Char"/>
    <w:uiPriority w:val="0"/>
    <w:qFormat/>
    <w:rPr>
      <w:sz w:val="20"/>
    </w:rPr>
  </w:style>
  <w:style w:type="character" w:styleId="1080" w:customStyle="1">
    <w:name w:val="正文文本缩进 2 Char"/>
    <w:uiPriority w:val="0"/>
    <w:qFormat/>
    <w:rPr>
      <w:sz w:val="20"/>
    </w:rPr>
  </w:style>
  <w:style w:type="character" w:styleId="1081" w:customStyle="1">
    <w:name w:val="批注引用1"/>
    <w:uiPriority w:val="0"/>
    <w:qFormat/>
    <w:rPr>
      <w:sz w:val="20"/>
    </w:rPr>
  </w:style>
  <w:style w:type="character" w:styleId="1082" w:customStyle="1">
    <w:name w:val="标题 6 Char"/>
    <w:uiPriority w:val="0"/>
    <w:qFormat/>
    <w:rPr>
      <w:b/>
      <w:sz w:val="20"/>
    </w:rPr>
  </w:style>
  <w:style w:type="character" w:styleId="1083" w:customStyle="1">
    <w:name w:val="lh151"/>
    <w:uiPriority w:val="0"/>
    <w:qFormat/>
    <w:rPr>
      <w:color w:val="666666"/>
      <w:sz w:val="20"/>
    </w:rPr>
  </w:style>
  <w:style w:type="character" w:styleId="1084" w:customStyle="1">
    <w:name w:val="_Style 332"/>
    <w:uiPriority w:val="0"/>
    <w:qFormat/>
    <w:rPr>
      <w:i/>
      <w:color w:val="auto"/>
      <w:sz w:val="21"/>
    </w:rPr>
  </w:style>
  <w:style w:type="character" w:styleId="1085" w:customStyle="1">
    <w:name w:val="页眉 Char1"/>
    <w:uiPriority w:val="0"/>
    <w:qFormat/>
    <w:rPr>
      <w:sz w:val="20"/>
    </w:rPr>
  </w:style>
  <w:style w:type="character" w:styleId="1086" w:customStyle="1">
    <w:name w:val="标题 3 Char"/>
    <w:uiPriority w:val="0"/>
    <w:qFormat/>
    <w:rPr>
      <w:b/>
      <w:sz w:val="20"/>
    </w:rPr>
  </w:style>
  <w:style w:type="character" w:styleId="1087" w:customStyle="1">
    <w:name w:val="正文文本 Char"/>
    <w:uiPriority w:val="0"/>
    <w:qFormat/>
    <w:rPr>
      <w:sz w:val="20"/>
    </w:rPr>
  </w:style>
  <w:style w:type="character" w:styleId="1088" w:customStyle="1">
    <w:name w:val="062"/>
    <w:uiPriority w:val="0"/>
    <w:qFormat/>
    <w:rPr>
      <w:b/>
      <w:sz w:val="20"/>
    </w:rPr>
  </w:style>
  <w:style w:type="character" w:styleId="1089" w:customStyle="1">
    <w:name w:val="标题 Char"/>
    <w:uiPriority w:val="0"/>
    <w:qFormat/>
    <w:rPr>
      <w:b/>
      <w:sz w:val="20"/>
    </w:rPr>
  </w:style>
  <w:style w:type="character" w:styleId="1090" w:customStyle="1">
    <w:name w:val="标题 2 Char"/>
    <w:uiPriority w:val="0"/>
    <w:qFormat/>
    <w:rPr>
      <w:b/>
      <w:sz w:val="20"/>
    </w:rPr>
  </w:style>
  <w:style w:type="character" w:styleId="1091" w:customStyle="1">
    <w:name w:val="正文缩进 Char"/>
    <w:uiPriority w:val="0"/>
    <w:qFormat/>
    <w:rPr>
      <w:sz w:val="20"/>
    </w:rPr>
  </w:style>
  <w:style w:type="character" w:styleId="1092" w:customStyle="1">
    <w:name w:val="日期 Char"/>
    <w:uiPriority w:val="0"/>
    <w:qFormat/>
    <w:rPr>
      <w:sz w:val="20"/>
    </w:rPr>
  </w:style>
  <w:style w:type="character" w:styleId="1093" w:customStyle="1">
    <w:name w:val="纯文本 Char1"/>
    <w:uiPriority w:val="0"/>
    <w:qFormat/>
    <w:rPr>
      <w:sz w:val="20"/>
    </w:rPr>
  </w:style>
  <w:style w:type="character" w:styleId="1094" w:customStyle="1">
    <w:name w:val="正文首行缩进 2 Char"/>
    <w:uiPriority w:val="0"/>
    <w:qFormat/>
    <w:rPr>
      <w:sz w:val="20"/>
    </w:rPr>
  </w:style>
  <w:style w:type="character" w:styleId="1095" w:customStyle="1">
    <w:name w:val="表格用 Char Char"/>
    <w:uiPriority w:val="0"/>
    <w:qFormat/>
    <w:rPr>
      <w:sz w:val="20"/>
    </w:rPr>
  </w:style>
  <w:style w:type="character" w:styleId="1096" w:customStyle="1">
    <w:name w:val="Char Char14"/>
    <w:uiPriority w:val="0"/>
    <w:qFormat/>
    <w:rPr>
      <w:sz w:val="20"/>
    </w:rPr>
  </w:style>
  <w:style w:type="character" w:styleId="1097" w:customStyle="1">
    <w:name w:val="批注文字 Char1"/>
    <w:uiPriority w:val="0"/>
    <w:qFormat/>
    <w:rPr>
      <w:sz w:val="20"/>
    </w:rPr>
  </w:style>
  <w:style w:type="character" w:styleId="1098" w:customStyle="1">
    <w:name w:val="正文（首行缩进 2 字符） Char Char"/>
    <w:uiPriority w:val="0"/>
    <w:qFormat/>
    <w:rPr>
      <w:sz w:val="20"/>
    </w:rPr>
  </w:style>
  <w:style w:type="character" w:styleId="1099" w:customStyle="1">
    <w:name w:val="图片 Char"/>
    <w:uiPriority w:val="0"/>
    <w:qFormat/>
    <w:rPr>
      <w:sz w:val="20"/>
    </w:rPr>
  </w:style>
  <w:style w:type="character" w:styleId="1100" w:customStyle="1">
    <w:name w:val="标书正文 Char"/>
    <w:uiPriority w:val="0"/>
    <w:qFormat/>
    <w:rPr>
      <w:sz w:val="20"/>
    </w:rPr>
  </w:style>
  <w:style w:type="character" w:styleId="1101" w:customStyle="1">
    <w:name w:val="批注文字 字符"/>
    <w:uiPriority w:val="0"/>
    <w:qFormat/>
    <w:rPr>
      <w:sz w:val="20"/>
    </w:rPr>
  </w:style>
  <w:style w:type="character" w:styleId="1102" w:customStyle="1">
    <w:name w:val="正文文本 2 Char1"/>
    <w:uiPriority w:val="0"/>
    <w:qFormat/>
    <w:rPr>
      <w:sz w:val="20"/>
    </w:rPr>
  </w:style>
  <w:style w:type="character" w:styleId="1103" w:customStyle="1">
    <w:name w:val="纯文本 Char"/>
    <w:uiPriority w:val="0"/>
    <w:qFormat/>
    <w:rPr>
      <w:sz w:val="20"/>
    </w:rPr>
  </w:style>
  <w:style w:type="character" w:styleId="1104" w:customStyle="1">
    <w:name w:val="标题 2 Char1"/>
    <w:uiPriority w:val="0"/>
    <w:qFormat/>
    <w:rPr>
      <w:b/>
      <w:sz w:val="20"/>
    </w:rPr>
  </w:style>
  <w:style w:type="character" w:styleId="1105" w:customStyle="1">
    <w:name w:val="标题 4 Char"/>
    <w:uiPriority w:val="0"/>
    <w:qFormat/>
    <w:rPr>
      <w:b/>
      <w:sz w:val="20"/>
    </w:rPr>
  </w:style>
  <w:style w:type="character" w:styleId="1106" w:customStyle="1">
    <w:name w:val="超级链接"/>
    <w:uiPriority w:val="0"/>
    <w:qFormat/>
    <w:rPr>
      <w:color w:val="0000ff"/>
      <w:sz w:val="20"/>
      <w:u w:val="single"/>
    </w:rPr>
  </w:style>
  <w:style w:type="character" w:styleId="1107" w:customStyle="1">
    <w:name w:val="1ji Char"/>
    <w:uiPriority w:val="0"/>
    <w:qFormat/>
    <w:rPr>
      <w:b/>
      <w:sz w:val="20"/>
    </w:rPr>
  </w:style>
  <w:style w:type="character" w:styleId="1108" w:customStyle="1">
    <w:name w:val="表格文字图表文字 Char Char"/>
    <w:uiPriority w:val="0"/>
    <w:qFormat/>
    <w:rPr>
      <w:sz w:val="20"/>
    </w:rPr>
  </w:style>
  <w:style w:type="character" w:styleId="1109" w:customStyle="1">
    <w:name w:val="case31"/>
    <w:uiPriority w:val="0"/>
    <w:qFormat/>
    <w:rPr>
      <w:sz w:val="20"/>
    </w:rPr>
  </w:style>
  <w:style w:type="character" w:styleId="1110" w:customStyle="1">
    <w:name w:val="链接"/>
    <w:uiPriority w:val="0"/>
    <w:qFormat/>
    <w:rPr>
      <w:color w:val="0000ff"/>
      <w:sz w:val="20"/>
      <w:u w:val="single"/>
    </w:rPr>
  </w:style>
  <w:style w:type="character" w:styleId="1111" w:customStyle="1">
    <w:name w:val="标准文本 Char Char"/>
    <w:uiPriority w:val="0"/>
    <w:qFormat/>
    <w:rPr>
      <w:sz w:val="20"/>
    </w:rPr>
  </w:style>
  <w:style w:type="character" w:styleId="1112" w:customStyle="1">
    <w:name w:val="标题 7 Char"/>
    <w:uiPriority w:val="0"/>
    <w:qFormat/>
    <w:rPr>
      <w:b/>
      <w:sz w:val="20"/>
    </w:rPr>
  </w:style>
  <w:style w:type="character" w:styleId="1113" w:customStyle="1">
    <w:name w:val="文档结构图 Char"/>
    <w:uiPriority w:val="0"/>
    <w:qFormat/>
    <w:rPr>
      <w:sz w:val="20"/>
    </w:rPr>
  </w:style>
  <w:style w:type="character" w:styleId="1114" w:customStyle="1">
    <w:name w:val="标题 5 Char1"/>
    <w:uiPriority w:val="0"/>
    <w:qFormat/>
    <w:rPr>
      <w:b/>
      <w:sz w:val="20"/>
    </w:rPr>
  </w:style>
  <w:style w:type="character" w:styleId="1115" w:customStyle="1">
    <w:name w:val="图片 Char Char"/>
    <w:uiPriority w:val="0"/>
    <w:qFormat/>
    <w:rPr>
      <w:sz w:val="20"/>
    </w:rPr>
  </w:style>
  <w:style w:type="character" w:styleId="1116" w:customStyle="1">
    <w:name w:val="txt"/>
    <w:uiPriority w:val="0"/>
    <w:qFormat/>
    <w:rPr>
      <w:sz w:val="20"/>
    </w:rPr>
  </w:style>
  <w:style w:type="character" w:styleId="1117" w:customStyle="1">
    <w:name w:val="样式2 Char"/>
    <w:uiPriority w:val="0"/>
    <w:qFormat/>
    <w:rPr>
      <w:b/>
      <w:sz w:val="20"/>
    </w:rPr>
  </w:style>
  <w:style w:type="character" w:styleId="1118" w:customStyle="1">
    <w:name w:val="宏文本 Char"/>
    <w:uiPriority w:val="0"/>
    <w:qFormat/>
    <w:rPr>
      <w:sz w:val="20"/>
    </w:rPr>
  </w:style>
  <w:style w:type="character" w:styleId="1119" w:customStyle="1">
    <w:name w:val="标题 3 Char1"/>
    <w:uiPriority w:val="0"/>
    <w:qFormat/>
    <w:rPr>
      <w:b/>
      <w:sz w:val="20"/>
      <w:u w:val="single"/>
    </w:rPr>
  </w:style>
  <w:style w:type="character" w:styleId="1120" w:customStyle="1">
    <w:name w:val="_Style 336"/>
    <w:uiPriority w:val="0"/>
    <w:qFormat/>
    <w:rPr>
      <w:i/>
      <w:color w:val="auto"/>
      <w:sz w:val="21"/>
    </w:rPr>
  </w:style>
  <w:style w:type="character" w:styleId="1121" w:customStyle="1">
    <w:name w:val="脚注文本 Char"/>
    <w:uiPriority w:val="0"/>
    <w:qFormat/>
    <w:rPr>
      <w:sz w:val="20"/>
    </w:rPr>
  </w:style>
  <w:style w:type="character" w:styleId="1122" w:customStyle="1">
    <w:name w:val="正文首行缩进 Char"/>
    <w:uiPriority w:val="0"/>
    <w:qFormat/>
    <w:rPr>
      <w:sz w:val="20"/>
    </w:rPr>
  </w:style>
  <w:style w:type="character" w:styleId="1123" w:customStyle="1">
    <w:name w:val="题注 Char"/>
    <w:uiPriority w:val="0"/>
    <w:qFormat/>
    <w:rPr>
      <w:sz w:val="20"/>
    </w:rPr>
  </w:style>
  <w:style w:type="character" w:styleId="1124" w:customStyle="1">
    <w:name w:val="正文文本缩进 Char1"/>
    <w:uiPriority w:val="0"/>
    <w:qFormat/>
    <w:rPr>
      <w:sz w:val="20"/>
    </w:rPr>
  </w:style>
  <w:style w:type="character" w:styleId="1125" w:customStyle="1">
    <w:name w:val="标题 4 Char1"/>
    <w:uiPriority w:val="0"/>
    <w:qFormat/>
    <w:rPr>
      <w:b/>
      <w:sz w:val="20"/>
    </w:rPr>
  </w:style>
  <w:style w:type="character" w:styleId="1126" w:customStyle="1">
    <w:name w:val="标题 5 Char"/>
    <w:uiPriority w:val="0"/>
    <w:qFormat/>
    <w:rPr>
      <w:b/>
      <w:sz w:val="20"/>
    </w:rPr>
  </w:style>
  <w:style w:type="character" w:styleId="1127" w:customStyle="1">
    <w:name w:val="HTML 预设格式 Char1"/>
    <w:uiPriority w:val="0"/>
    <w:qFormat/>
    <w:rPr>
      <w:sz w:val="20"/>
    </w:rPr>
  </w:style>
  <w:style w:type="character" w:styleId="1128" w:customStyle="1">
    <w:name w:val="表格用 Char"/>
    <w:uiPriority w:val="0"/>
    <w:qFormat/>
    <w:rPr>
      <w:color w:val="000000"/>
      <w:sz w:val="20"/>
    </w:rPr>
  </w:style>
  <w:style w:type="character" w:styleId="1129" w:customStyle="1">
    <w:name w:val="_Style 313"/>
    <w:uiPriority w:val="0"/>
    <w:qFormat/>
    <w:rPr>
      <w:b/>
      <w:i/>
      <w:sz w:val="21"/>
    </w:rPr>
  </w:style>
  <w:style w:type="character" w:styleId="1130" w:customStyle="1">
    <w:name w:val="表格文字（两侧对齐） Char Char"/>
    <w:uiPriority w:val="0"/>
    <w:qFormat/>
    <w:rPr>
      <w:sz w:val="20"/>
    </w:rPr>
  </w:style>
  <w:style w:type="character" w:styleId="1131" w:customStyle="1">
    <w:name w:val="Plain Text Char"/>
    <w:link w:val="1132"/>
    <w:uiPriority w:val="0"/>
    <w:qFormat/>
    <w:rPr>
      <w:rFonts w:ascii="宋体" w:hAnsi="Courier New" w:eastAsia="楷体_GB2312"/>
      <w:sz w:val="26"/>
    </w:rPr>
  </w:style>
  <w:style w:type="paragraph" w:styleId="1132" w:customStyle="1">
    <w:name w:val="纯文本1"/>
    <w:basedOn w:val="998"/>
    <w:link w:val="1131"/>
    <w:uiPriority w:val="0"/>
    <w:qFormat/>
    <w:pPr>
      <w:ind w:left="0"/>
      <w:widowControl w:val="off"/>
    </w:pPr>
    <w:rPr>
      <w:rFonts w:ascii="宋体" w:hAnsi="Courier New" w:eastAsia="楷体_GB2312"/>
      <w:sz w:val="26"/>
      <w:lang w:val="zh-CN"/>
    </w:rPr>
  </w:style>
  <w:style w:type="character" w:styleId="1133" w:customStyle="1">
    <w:name w:val="H 4 Char"/>
    <w:uiPriority w:val="0"/>
    <w:qFormat/>
    <w:rPr>
      <w:b/>
      <w:sz w:val="20"/>
    </w:rPr>
  </w:style>
  <w:style w:type="character" w:styleId="1134" w:customStyle="1">
    <w:name w:val="标准文本 Char"/>
    <w:uiPriority w:val="0"/>
    <w:qFormat/>
    <w:rPr>
      <w:sz w:val="20"/>
    </w:rPr>
  </w:style>
  <w:style w:type="character" w:styleId="1135" w:customStyle="1">
    <w:name w:val="18h1"/>
    <w:uiPriority w:val="0"/>
    <w:qFormat/>
    <w:rPr>
      <w:color w:val="3b3b3b"/>
      <w:sz w:val="20"/>
    </w:rPr>
  </w:style>
  <w:style w:type="character" w:styleId="1136" w:customStyle="1">
    <w:name w:val="正文文本缩进 3 Char1"/>
    <w:uiPriority w:val="0"/>
    <w:qFormat/>
    <w:rPr>
      <w:sz w:val="20"/>
    </w:rPr>
  </w:style>
  <w:style w:type="character" w:styleId="1137" w:customStyle="1">
    <w:name w:val="标题 1 Char1"/>
    <w:uiPriority w:val="0"/>
    <w:qFormat/>
    <w:rPr>
      <w:b/>
      <w:sz w:val="20"/>
    </w:rPr>
  </w:style>
  <w:style w:type="character" w:styleId="1138" w:customStyle="1">
    <w:name w:val="apple-style-span"/>
    <w:uiPriority w:val="0"/>
    <w:qFormat/>
    <w:rPr>
      <w:sz w:val="20"/>
    </w:rPr>
  </w:style>
  <w:style w:type="character" w:styleId="1139" w:customStyle="1">
    <w:name w:val="列表框1 Char Char"/>
    <w:uiPriority w:val="0"/>
    <w:qFormat/>
    <w:rPr>
      <w:sz w:val="20"/>
    </w:rPr>
  </w:style>
  <w:style w:type="character" w:styleId="1140" w:customStyle="1">
    <w:name w:val="批注主题 字符"/>
    <w:uiPriority w:val="0"/>
    <w:qFormat/>
    <w:rPr>
      <w:b/>
      <w:sz w:val="20"/>
    </w:rPr>
  </w:style>
  <w:style w:type="character" w:styleId="1141" w:customStyle="1">
    <w:name w:val="页脚 Char"/>
    <w:uiPriority w:val="0"/>
    <w:qFormat/>
    <w:rPr>
      <w:sz w:val="20"/>
    </w:rPr>
  </w:style>
  <w:style w:type="character" w:styleId="1142" w:customStyle="1">
    <w:name w:val="列出段落 Char"/>
    <w:uiPriority w:val="0"/>
    <w:qFormat/>
    <w:rPr>
      <w:sz w:val="20"/>
    </w:rPr>
  </w:style>
  <w:style w:type="character" w:styleId="1143" w:customStyle="1">
    <w:name w:val="正文文本 3 Char1"/>
    <w:uiPriority w:val="0"/>
    <w:qFormat/>
    <w:rPr>
      <w:sz w:val="20"/>
    </w:rPr>
  </w:style>
  <w:style w:type="character" w:styleId="1144" w:customStyle="1">
    <w:name w:val="尾注文本 Char"/>
    <w:uiPriority w:val="0"/>
    <w:qFormat/>
    <w:rPr>
      <w:sz w:val="20"/>
    </w:rPr>
  </w:style>
  <w:style w:type="character" w:styleId="1145" w:customStyle="1">
    <w:name w:val="正文文本 3 Char"/>
    <w:uiPriority w:val="0"/>
    <w:qFormat/>
    <w:rPr>
      <w:sz w:val="20"/>
    </w:rPr>
  </w:style>
  <w:style w:type="character" w:styleId="1146" w:customStyle="1">
    <w:name w:val="批注框文本 Char1"/>
    <w:uiPriority w:val="0"/>
    <w:qFormat/>
    <w:rPr>
      <w:sz w:val="20"/>
    </w:rPr>
  </w:style>
  <w:style w:type="character" w:styleId="1147" w:customStyle="1">
    <w:name w:val="H 3 Char"/>
    <w:uiPriority w:val="0"/>
    <w:qFormat/>
    <w:rPr>
      <w:b/>
      <w:sz w:val="20"/>
    </w:rPr>
  </w:style>
  <w:style w:type="character" w:styleId="1148" w:customStyle="1">
    <w:name w:val="apple-converted-space"/>
    <w:uiPriority w:val="0"/>
    <w:qFormat/>
    <w:rPr>
      <w:sz w:val="20"/>
    </w:rPr>
  </w:style>
  <w:style w:type="character" w:styleId="1149" w:customStyle="1">
    <w:name w:val="正文文本 Char1"/>
    <w:uiPriority w:val="0"/>
    <w:qFormat/>
    <w:rPr>
      <w:sz w:val="20"/>
    </w:rPr>
  </w:style>
  <w:style w:type="character" w:styleId="1150" w:customStyle="1">
    <w:name w:val="标题 7 Char1"/>
    <w:uiPriority w:val="0"/>
    <w:qFormat/>
    <w:rPr>
      <w:b/>
      <w:sz w:val="20"/>
    </w:rPr>
  </w:style>
  <w:style w:type="character" w:styleId="1151" w:customStyle="1">
    <w:name w:val="_Style 376"/>
    <w:uiPriority w:val="0"/>
    <w:qFormat/>
    <w:rPr>
      <w:b/>
      <w:color w:val="auto"/>
      <w:sz w:val="21"/>
    </w:rPr>
  </w:style>
  <w:style w:type="character" w:styleId="1152" w:customStyle="1">
    <w:name w:val="批注主题 Char"/>
    <w:uiPriority w:val="0"/>
    <w:qFormat/>
    <w:rPr>
      <w:b/>
      <w:sz w:val="20"/>
    </w:rPr>
  </w:style>
  <w:style w:type="character" w:styleId="1153" w:customStyle="1">
    <w:name w:val="表格 Char"/>
    <w:uiPriority w:val="0"/>
    <w:qFormat/>
    <w:rPr>
      <w:color w:val="000000"/>
      <w:sz w:val="20"/>
    </w:rPr>
  </w:style>
  <w:style w:type="character" w:styleId="1154" w:customStyle="1">
    <w:name w:val="正文文本缩进 2 Char1"/>
    <w:uiPriority w:val="0"/>
    <w:qFormat/>
    <w:rPr>
      <w:sz w:val="20"/>
    </w:rPr>
  </w:style>
  <w:style w:type="character" w:styleId="1155" w:customStyle="1">
    <w:name w:val="正文文本 2 Char"/>
    <w:uiPriority w:val="0"/>
    <w:qFormat/>
    <w:rPr>
      <w:sz w:val="20"/>
    </w:rPr>
  </w:style>
  <w:style w:type="character" w:styleId="1156" w:customStyle="1">
    <w:name w:val="para1"/>
    <w:uiPriority w:val="0"/>
    <w:qFormat/>
    <w:rPr>
      <w:sz w:val="20"/>
    </w:rPr>
  </w:style>
  <w:style w:type="character" w:styleId="1157" w:customStyle="1">
    <w:name w:val="标题 8 Char"/>
    <w:uiPriority w:val="0"/>
    <w:qFormat/>
    <w:rPr>
      <w:sz w:val="20"/>
    </w:rPr>
  </w:style>
  <w:style w:type="character" w:styleId="1158" w:customStyle="1">
    <w:name w:val="批注框文本 Char"/>
    <w:uiPriority w:val="0"/>
    <w:qFormat/>
    <w:rPr>
      <w:sz w:val="20"/>
    </w:rPr>
  </w:style>
  <w:style w:type="character" w:styleId="1159" w:customStyle="1">
    <w:name w:val="样式 首行缩进:  2 字符 Char1"/>
    <w:uiPriority w:val="0"/>
    <w:qFormat/>
    <w:rPr>
      <w:sz w:val="20"/>
    </w:rPr>
  </w:style>
  <w:style w:type="character" w:styleId="1160" w:customStyle="1">
    <w:name w:val="Char Char12"/>
    <w:uiPriority w:val="0"/>
    <w:qFormat/>
    <w:rPr>
      <w:sz w:val="20"/>
    </w:rPr>
  </w:style>
  <w:style w:type="character" w:styleId="1161" w:customStyle="1">
    <w:name w:val="_Style 337"/>
    <w:uiPriority w:val="0"/>
    <w:qFormat/>
    <w:rPr>
      <w:color w:val="auto"/>
      <w:sz w:val="21"/>
    </w:rPr>
  </w:style>
  <w:style w:type="character" w:styleId="1162" w:customStyle="1">
    <w:name w:val="批注文字 Char"/>
    <w:uiPriority w:val="0"/>
    <w:qFormat/>
    <w:rPr>
      <w:sz w:val="20"/>
    </w:rPr>
  </w:style>
  <w:style w:type="character" w:styleId="1163" w:customStyle="1">
    <w:name w:val="插图 Char Char"/>
    <w:uiPriority w:val="0"/>
    <w:qFormat/>
    <w:rPr>
      <w:sz w:val="20"/>
    </w:rPr>
  </w:style>
  <w:style w:type="character" w:styleId="1164" w:customStyle="1">
    <w:name w:val="Char Char2"/>
    <w:uiPriority w:val="0"/>
    <w:qFormat/>
    <w:rPr>
      <w:sz w:val="20"/>
    </w:rPr>
  </w:style>
  <w:style w:type="character" w:styleId="1165" w:customStyle="1">
    <w:name w:val="项目符0 Char"/>
    <w:uiPriority w:val="0"/>
    <w:qFormat/>
    <w:rPr>
      <w:sz w:val="20"/>
    </w:rPr>
  </w:style>
  <w:style w:type="character" w:styleId="1166" w:customStyle="1">
    <w:name w:val="页眉 Char"/>
    <w:uiPriority w:val="0"/>
    <w:qFormat/>
    <w:rPr>
      <w:sz w:val="20"/>
    </w:rPr>
  </w:style>
  <w:style w:type="character" w:styleId="1167" w:customStyle="1">
    <w:name w:val="页码1"/>
    <w:uiPriority w:val="0"/>
    <w:qFormat/>
    <w:rPr>
      <w:sz w:val="20"/>
    </w:rPr>
  </w:style>
  <w:style w:type="character" w:styleId="1168" w:customStyle="1">
    <w:name w:val="文档结构图 Char1"/>
    <w:uiPriority w:val="0"/>
    <w:qFormat/>
    <w:rPr>
      <w:sz w:val="20"/>
    </w:rPr>
  </w:style>
  <w:style w:type="character" w:styleId="1169" w:customStyle="1">
    <w:name w:val="HTML 预设格式 Char"/>
    <w:uiPriority w:val="0"/>
    <w:qFormat/>
    <w:rPr>
      <w:sz w:val="20"/>
    </w:rPr>
  </w:style>
  <w:style w:type="character" w:styleId="1170" w:customStyle="1">
    <w:name w:val="应答文本 Char Char"/>
    <w:uiPriority w:val="0"/>
    <w:qFormat/>
    <w:rPr>
      <w:sz w:val="20"/>
    </w:rPr>
  </w:style>
  <w:style w:type="character" w:styleId="1171" w:customStyle="1">
    <w:name w:val="Char Char13"/>
    <w:uiPriority w:val="0"/>
    <w:qFormat/>
    <w:rPr>
      <w:sz w:val="20"/>
    </w:rPr>
  </w:style>
  <w:style w:type="character" w:styleId="1172" w:customStyle="1">
    <w:name w:val="页脚 Char1"/>
    <w:uiPriority w:val="0"/>
    <w:qFormat/>
    <w:rPr>
      <w:sz w:val="20"/>
    </w:rPr>
  </w:style>
  <w:style w:type="character" w:styleId="1173" w:customStyle="1">
    <w:name w:val="表格 Char Char"/>
    <w:uiPriority w:val="0"/>
    <w:qFormat/>
    <w:rPr>
      <w:sz w:val="20"/>
    </w:rPr>
  </w:style>
  <w:style w:type="character" w:styleId="1174" w:customStyle="1">
    <w:name w:val="标题 9 Char"/>
    <w:uiPriority w:val="0"/>
    <w:qFormat/>
    <w:rPr>
      <w:sz w:val="20"/>
    </w:rPr>
  </w:style>
  <w:style w:type="character" w:styleId="1175" w:customStyle="1">
    <w:name w:val="Char Char3"/>
    <w:uiPriority w:val="0"/>
    <w:qFormat/>
    <w:rPr>
      <w:sz w:val="20"/>
    </w:rPr>
  </w:style>
  <w:style w:type="character" w:styleId="1176" w:customStyle="1">
    <w:name w:val="日期 Char1"/>
    <w:uiPriority w:val="0"/>
    <w:qFormat/>
    <w:rPr>
      <w:sz w:val="20"/>
    </w:rPr>
  </w:style>
  <w:style w:type="character" w:styleId="1177" w:customStyle="1">
    <w:name w:val="批注主题 Char1"/>
    <w:uiPriority w:val="0"/>
    <w:qFormat/>
    <w:rPr>
      <w:b/>
      <w:sz w:val="20"/>
    </w:rPr>
  </w:style>
  <w:style w:type="character" w:styleId="1178" w:customStyle="1">
    <w:name w:val="标题 1 Char"/>
    <w:uiPriority w:val="0"/>
    <w:qFormat/>
    <w:rPr>
      <w:b/>
      <w:sz w:val="20"/>
    </w:rPr>
  </w:style>
  <w:style w:type="paragraph" w:styleId="1179" w:customStyle="1">
    <w:name w:val="正文文本缩进 31"/>
    <w:basedOn w:val="999"/>
    <w:next w:val="1180"/>
    <w:uiPriority w:val="0"/>
    <w:qFormat/>
    <w:pPr>
      <w:ind w:left="1200" w:firstLine="1248"/>
      <w:spacing w:before="120" w:after="0" w:line="22" w:lineRule="atLeast"/>
    </w:pPr>
  </w:style>
  <w:style w:type="paragraph" w:styleId="1180" w:customStyle="1">
    <w:name w:val="样式 正文首行缩进 + 首行缩进:  2 字符5"/>
    <w:next w:val="1181"/>
    <w:uiPriority w:val="0"/>
    <w:qFormat/>
    <w:pPr>
      <w:ind w:left="200" w:firstLine="3784"/>
      <w:spacing w:line="300" w:lineRule="auto"/>
    </w:pPr>
    <w:rPr>
      <w:rFonts w:ascii="Calibri" w:hAnsi="Calibri" w:eastAsia="宋体" w:cs="Times New Roman"/>
      <w:lang w:val="en-US" w:eastAsia="zh-CN" w:bidi="ar-SA"/>
    </w:rPr>
  </w:style>
  <w:style w:type="paragraph" w:styleId="1181" w:customStyle="1">
    <w:name w:val="Char2"/>
    <w:basedOn w:val="999"/>
    <w:next w:val="1182"/>
    <w:uiPriority w:val="0"/>
    <w:qFormat/>
    <w:pPr>
      <w:ind w:left="0" w:firstLine="3584"/>
      <w:spacing w:before="0" w:after="160" w:line="240" w:lineRule="exact"/>
    </w:pPr>
  </w:style>
  <w:style w:type="paragraph" w:styleId="1182" w:customStyle="1">
    <w:name w:val="Bullet"/>
    <w:next w:val="1183"/>
    <w:uiPriority w:val="0"/>
    <w:qFormat/>
    <w:pPr>
      <w:ind w:left="567" w:right="2835" w:firstLine="3584"/>
      <w:spacing w:after="60"/>
    </w:pPr>
    <w:rPr>
      <w:rFonts w:ascii="Calibri" w:hAnsi="Calibri" w:eastAsia="宋体" w:cs="Times New Roman"/>
      <w:lang w:val="en-US" w:eastAsia="zh-CN" w:bidi="ar-SA"/>
    </w:rPr>
  </w:style>
  <w:style w:type="paragraph" w:styleId="1183" w:customStyle="1">
    <w:name w:val="Char Char Char Char"/>
    <w:next w:val="1184"/>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84" w:customStyle="1">
    <w:name w:val="杨昂超式样黑体主"/>
    <w:basedOn w:val="999"/>
    <w:next w:val="1185"/>
    <w:uiPriority w:val="0"/>
    <w:qFormat/>
    <w:pPr>
      <w:ind w:left="0" w:firstLine="4608"/>
      <w:spacing w:before="0" w:after="0" w:line="240" w:lineRule="auto"/>
    </w:pPr>
  </w:style>
  <w:style w:type="paragraph" w:styleId="1185" w:customStyle="1">
    <w:name w:val="Char Char Char Char Char Char1 Char Char Char Char Char Char Char Char Char Char"/>
    <w:basedOn w:val="999"/>
    <w:next w:val="1186"/>
    <w:uiPriority w:val="0"/>
    <w:qFormat/>
    <w:pPr>
      <w:ind w:left="0" w:firstLine="2560"/>
      <w:spacing w:before="0" w:after="0" w:line="240" w:lineRule="auto"/>
    </w:pPr>
  </w:style>
  <w:style w:type="paragraph" w:styleId="1186" w:customStyle="1">
    <w:name w:val="目录1"/>
    <w:basedOn w:val="999"/>
    <w:next w:val="998"/>
    <w:uiPriority w:val="0"/>
    <w:qFormat/>
    <w:pPr>
      <w:ind w:left="0" w:firstLine="7168"/>
      <w:spacing w:before="0" w:after="136" w:line="289" w:lineRule="atLeast"/>
    </w:pPr>
  </w:style>
  <w:style w:type="paragraph" w:styleId="1187" w:customStyle="1">
    <w:name w:val="插图"/>
    <w:next w:val="998"/>
    <w:uiPriority w:val="0"/>
    <w:qFormat/>
    <w:pPr>
      <w:ind w:firstLine="4608"/>
      <w:jc w:val="center"/>
    </w:pPr>
    <w:rPr>
      <w:rFonts w:ascii="Calibri" w:hAnsi="Calibri" w:eastAsia="宋体" w:cs="Times New Roman"/>
      <w:lang w:val="en-US" w:eastAsia="zh-CN" w:bidi="ar-SA"/>
    </w:rPr>
  </w:style>
  <w:style w:type="paragraph" w:styleId="1188" w:customStyle="1">
    <w:name w:val="正文符号4"/>
    <w:basedOn w:val="999"/>
    <w:next w:val="1189"/>
    <w:uiPriority w:val="0"/>
    <w:qFormat/>
    <w:pPr>
      <w:ind w:left="0" w:firstLine="5632"/>
      <w:spacing w:before="0" w:after="0" w:line="240" w:lineRule="auto"/>
    </w:pPr>
  </w:style>
  <w:style w:type="paragraph" w:styleId="1189" w:customStyle="1">
    <w:name w:val="样式 加粗 居中"/>
    <w:basedOn w:val="999"/>
    <w:next w:val="1190"/>
    <w:uiPriority w:val="0"/>
    <w:qFormat/>
    <w:pPr>
      <w:ind w:left="0" w:firstLine="2560"/>
      <w:jc w:val="center"/>
      <w:spacing w:before="0" w:after="0" w:line="360" w:lineRule="auto"/>
    </w:pPr>
  </w:style>
  <w:style w:type="paragraph" w:styleId="1190" w:customStyle="1">
    <w:name w:val="_Style 12"/>
    <w:next w:val="119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91" w:customStyle="1">
    <w:name w:val="正文文本缩进1"/>
    <w:basedOn w:val="999"/>
    <w:next w:val="1192"/>
    <w:uiPriority w:val="0"/>
    <w:qFormat/>
    <w:pPr>
      <w:ind w:left="420" w:firstLine="3584"/>
      <w:spacing w:before="0" w:after="120" w:line="240" w:lineRule="auto"/>
    </w:pPr>
  </w:style>
  <w:style w:type="paragraph" w:styleId="1192" w:customStyle="1">
    <w:name w:val="列表编号 31"/>
    <w:basedOn w:val="999"/>
    <w:next w:val="1053"/>
    <w:uiPriority w:val="0"/>
    <w:qFormat/>
    <w:pPr>
      <w:ind w:left="1200" w:firstLine="2712"/>
      <w:spacing w:before="0" w:after="0" w:line="360" w:lineRule="auto"/>
    </w:pPr>
  </w:style>
  <w:style w:type="paragraph" w:styleId="1193" w:customStyle="1">
    <w:name w:val="xl70"/>
    <w:basedOn w:val="999"/>
    <w:next w:val="1051"/>
    <w:uiPriority w:val="0"/>
    <w:qFormat/>
    <w:pPr>
      <w:ind w:left="0" w:firstLine="1024"/>
      <w:spacing w:before="280" w:after="280" w:line="240" w:lineRule="auto"/>
    </w:pPr>
  </w:style>
  <w:style w:type="paragraph" w:styleId="1194" w:customStyle="1">
    <w:name w:val="应答文本"/>
    <w:basedOn w:val="999"/>
    <w:next w:val="1195"/>
    <w:uiPriority w:val="0"/>
    <w:qFormat/>
    <w:pPr>
      <w:ind w:left="1296" w:firstLine="2112"/>
      <w:spacing w:before="0" w:after="0" w:line="460" w:lineRule="exact"/>
    </w:pPr>
  </w:style>
  <w:style w:type="paragraph" w:styleId="1195" w:customStyle="1">
    <w:name w:val="引文目录1"/>
    <w:basedOn w:val="999"/>
    <w:next w:val="998"/>
    <w:uiPriority w:val="0"/>
    <w:qFormat/>
    <w:pPr>
      <w:ind w:left="420" w:firstLine="2560"/>
      <w:jc w:val="center"/>
      <w:spacing w:before="0" w:after="0" w:line="360" w:lineRule="auto"/>
    </w:pPr>
  </w:style>
  <w:style w:type="paragraph" w:styleId="1196" w:customStyle="1">
    <w:name w:val="索引标题1"/>
    <w:basedOn w:val="999"/>
    <w:next w:val="1197"/>
    <w:uiPriority w:val="0"/>
    <w:qFormat/>
    <w:pPr>
      <w:ind w:left="0" w:firstLine="4608"/>
      <w:jc w:val="center"/>
      <w:spacing w:before="0" w:after="0" w:line="360" w:lineRule="auto"/>
    </w:pPr>
  </w:style>
  <w:style w:type="paragraph" w:styleId="1197" w:customStyle="1">
    <w:name w:val="xl90"/>
    <w:basedOn w:val="999"/>
    <w:next w:val="1198"/>
    <w:uiPriority w:val="0"/>
    <w:qFormat/>
    <w:pPr>
      <w:ind w:left="0" w:firstLine="3584"/>
      <w:spacing w:before="280" w:after="280" w:line="240" w:lineRule="auto"/>
    </w:pPr>
  </w:style>
  <w:style w:type="paragraph" w:styleId="1198" w:customStyle="1">
    <w:name w:val="列表框1"/>
    <w:next w:val="1195"/>
    <w:uiPriority w:val="0"/>
    <w:qFormat/>
    <w:pPr>
      <w:ind w:firstLine="2048"/>
      <w:spacing w:line="460" w:lineRule="exact"/>
    </w:pPr>
    <w:rPr>
      <w:rFonts w:ascii="Calibri" w:hAnsi="Calibri" w:eastAsia="宋体" w:cs="Times New Roman"/>
      <w:lang w:val="en-US" w:eastAsia="zh-CN" w:bidi="ar-SA"/>
    </w:rPr>
  </w:style>
  <w:style w:type="paragraph" w:styleId="1199" w:customStyle="1">
    <w:name w:val="xl28"/>
    <w:basedOn w:val="999"/>
    <w:next w:val="1200"/>
    <w:uiPriority w:val="0"/>
    <w:qFormat/>
    <w:pPr>
      <w:ind w:left="0" w:firstLine="20"/>
      <w:spacing w:before="280" w:after="280" w:line="240" w:lineRule="auto"/>
      <w:shd w:val="clear" w:color="000000" w:fill="ffffff"/>
    </w:pPr>
  </w:style>
  <w:style w:type="paragraph" w:styleId="1200" w:customStyle="1">
    <w:name w:val="HTML 预设格式1"/>
    <w:basedOn w:val="999"/>
    <w:next w:val="1201"/>
    <w:uiPriority w:val="0"/>
    <w:qFormat/>
    <w:pPr>
      <w:ind w:left="0" w:firstLine="3584"/>
      <w:spacing w:before="0" w:after="0" w:line="253" w:lineRule="atLeast"/>
    </w:pPr>
  </w:style>
  <w:style w:type="paragraph" w:styleId="1201" w:customStyle="1">
    <w:name w:val="项目符号：一级"/>
    <w:basedOn w:val="999"/>
    <w:next w:val="998"/>
    <w:uiPriority w:val="0"/>
    <w:qFormat/>
    <w:pPr>
      <w:ind w:left="425" w:firstLine="1111"/>
      <w:spacing w:before="0" w:after="0" w:line="360" w:lineRule="auto"/>
    </w:pPr>
  </w:style>
  <w:style w:type="paragraph" w:styleId="1202" w:customStyle="1">
    <w:name w:val="四号 居中"/>
    <w:basedOn w:val="999"/>
    <w:next w:val="1203"/>
    <w:uiPriority w:val="0"/>
    <w:qFormat/>
    <w:pPr>
      <w:ind w:left="0" w:firstLine="6144"/>
      <w:jc w:val="center"/>
      <w:spacing w:before="0" w:after="0" w:line="360" w:lineRule="auto"/>
    </w:pPr>
  </w:style>
  <w:style w:type="paragraph" w:styleId="1203" w:customStyle="1">
    <w:name w:val="Char Char Char Char Char Char1 Char Char Char1 Char Char Char Char Char Char"/>
    <w:basedOn w:val="999"/>
    <w:next w:val="1204"/>
    <w:uiPriority w:val="0"/>
    <w:qFormat/>
    <w:pPr>
      <w:ind w:left="0" w:firstLine="2560"/>
      <w:spacing w:before="0" w:after="0" w:line="240" w:lineRule="auto"/>
    </w:pPr>
  </w:style>
  <w:style w:type="paragraph" w:styleId="1204" w:customStyle="1">
    <w:name w:val="样式 标题 3 + (西文) 黑体 (中文) 黑体 (符号) 宋体 小四 段前: 5 磅 段后: 5 磅 行距: 1..."/>
    <w:basedOn w:val="1002"/>
    <w:next w:val="1205"/>
    <w:uiPriority w:val="0"/>
    <w:qFormat/>
    <w:pPr>
      <w:ind w:left="1429" w:firstLine="18"/>
      <w:spacing w:before="100" w:after="100" w:line="360" w:lineRule="auto"/>
      <w:outlineLvl w:val="2"/>
    </w:pPr>
  </w:style>
  <w:style w:type="paragraph" w:styleId="1205" w:customStyle="1">
    <w:name w:val="xl22"/>
    <w:basedOn w:val="999"/>
    <w:next w:val="1206"/>
    <w:uiPriority w:val="0"/>
    <w:qFormat/>
    <w:pPr>
      <w:ind w:left="0" w:firstLine="20"/>
      <w:jc w:val="right"/>
      <w:spacing w:before="280" w:after="280" w:line="240" w:lineRule="auto"/>
      <w:shd w:val="clear" w:color="000000" w:fill="ffffff"/>
    </w:pPr>
  </w:style>
  <w:style w:type="paragraph" w:styleId="1206" w:customStyle="1">
    <w:name w:val="自定义一"/>
    <w:basedOn w:val="999"/>
    <w:next w:val="998"/>
    <w:uiPriority w:val="0"/>
    <w:qFormat/>
    <w:pPr>
      <w:ind w:left="0"/>
      <w:spacing w:before="0" w:after="0" w:line="360" w:lineRule="auto"/>
    </w:pPr>
  </w:style>
  <w:style w:type="paragraph" w:styleId="1207" w:customStyle="1">
    <w:name w:val="_Style 224"/>
    <w:next w:val="1208"/>
    <w:uiPriority w:val="0"/>
    <w:qFormat/>
    <w:pPr>
      <w:ind w:firstLine="3584"/>
    </w:pPr>
    <w:rPr>
      <w:rFonts w:ascii="Calibri" w:hAnsi="Calibri" w:eastAsia="宋体" w:cs="Times New Roman"/>
      <w:lang w:val="en-US" w:eastAsia="zh-CN" w:bidi="ar-SA"/>
    </w:rPr>
  </w:style>
  <w:style w:type="paragraph" w:styleId="1208" w:customStyle="1">
    <w:name w:val="编号1"/>
    <w:basedOn w:val="999"/>
    <w:next w:val="1209"/>
    <w:uiPriority w:val="0"/>
    <w:qFormat/>
    <w:pPr>
      <w:ind w:left="360" w:right="210" w:firstLine="2200"/>
      <w:spacing w:before="0" w:after="0" w:line="240" w:lineRule="auto"/>
    </w:pPr>
  </w:style>
  <w:style w:type="paragraph" w:styleId="1209" w:customStyle="1">
    <w:name w:val="图片"/>
    <w:basedOn w:val="999"/>
    <w:next w:val="1210"/>
    <w:uiPriority w:val="0"/>
    <w:qFormat/>
    <w:pPr>
      <w:ind w:left="-283" w:firstLine="2674"/>
      <w:jc w:val="center"/>
      <w:spacing w:before="0" w:after="0" w:line="360" w:lineRule="auto"/>
    </w:pPr>
  </w:style>
  <w:style w:type="paragraph" w:styleId="1210" w:customStyle="1">
    <w:name w:val="样式 目录 3 + 左侧:  2 字符"/>
    <w:next w:val="1049"/>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11" w:customStyle="1">
    <w:name w:val="列出段落2"/>
    <w:basedOn w:val="999"/>
    <w:next w:val="1179"/>
    <w:uiPriority w:val="0"/>
    <w:qFormat/>
    <w:pPr>
      <w:ind w:left="420" w:firstLine="3748"/>
      <w:spacing w:before="0" w:after="0" w:line="240" w:lineRule="auto"/>
    </w:pPr>
  </w:style>
  <w:style w:type="paragraph" w:styleId="1212" w:customStyle="1">
    <w:name w:val="Char Char Char Char Char Char1 Char Char Char1 Char"/>
    <w:basedOn w:val="999"/>
    <w:next w:val="1188"/>
    <w:uiPriority w:val="0"/>
    <w:qFormat/>
    <w:pPr>
      <w:ind w:left="0" w:firstLine="2560"/>
      <w:spacing w:before="0" w:after="0" w:line="240" w:lineRule="auto"/>
    </w:pPr>
  </w:style>
  <w:style w:type="paragraph" w:styleId="1213" w:customStyle="1">
    <w:name w:val="列出段落11"/>
    <w:basedOn w:val="999"/>
    <w:next w:val="1214"/>
    <w:uiPriority w:val="0"/>
    <w:qFormat/>
    <w:pPr>
      <w:ind w:left="420" w:firstLine="3748"/>
      <w:spacing w:before="0" w:after="0" w:line="240" w:lineRule="auto"/>
    </w:pPr>
  </w:style>
  <w:style w:type="paragraph" w:styleId="1214" w:customStyle="1">
    <w:name w:val="样式 标题 2 + (西文) 宋体 非加粗 居中"/>
    <w:basedOn w:val="1001"/>
    <w:next w:val="1215"/>
    <w:uiPriority w:val="0"/>
    <w:qFormat/>
    <w:pPr>
      <w:ind w:left="0" w:firstLine="24"/>
      <w:jc w:val="center"/>
      <w:spacing w:line="412" w:lineRule="auto"/>
      <w:outlineLvl w:val="1"/>
    </w:pPr>
  </w:style>
  <w:style w:type="paragraph" w:styleId="1215" w:customStyle="1">
    <w:name w:val="页脚 Char Char"/>
    <w:basedOn w:val="999"/>
    <w:next w:val="1216"/>
    <w:uiPriority w:val="0"/>
    <w:qFormat/>
    <w:pPr>
      <w:ind w:left="0" w:firstLine="5120"/>
      <w:spacing w:before="0" w:after="0" w:line="240" w:lineRule="auto"/>
    </w:pPr>
  </w:style>
  <w:style w:type="paragraph" w:styleId="1216" w:customStyle="1">
    <w:name w:val="样式 标题 1 + 段前: 16 磅 段后: 16 磅"/>
    <w:basedOn w:val="1000"/>
    <w:next w:val="1217"/>
    <w:uiPriority w:val="0"/>
    <w:qFormat/>
    <w:pPr>
      <w:ind w:left="0" w:firstLine="18"/>
      <w:jc w:val="center"/>
      <w:spacing w:before="120" w:after="0" w:line="360" w:lineRule="auto"/>
      <w:outlineLvl w:val="0"/>
    </w:pPr>
  </w:style>
  <w:style w:type="paragraph" w:styleId="1217" w:customStyle="1">
    <w:name w:val="Char1 Char Char Char Char Char Char"/>
    <w:basedOn w:val="999"/>
    <w:next w:val="1218"/>
    <w:uiPriority w:val="0"/>
    <w:qFormat/>
    <w:pPr>
      <w:ind w:left="0" w:firstLine="2560"/>
      <w:spacing w:before="0" w:after="0" w:line="240" w:lineRule="auto"/>
    </w:pPr>
  </w:style>
  <w:style w:type="paragraph" w:styleId="1218" w:customStyle="1">
    <w:name w:val="文档标题4"/>
    <w:basedOn w:val="1003"/>
    <w:next w:val="998"/>
    <w:uiPriority w:val="0"/>
    <w:qFormat/>
    <w:pPr>
      <w:ind w:left="851" w:firstLine="30"/>
      <w:spacing w:after="280" w:line="360" w:lineRule="auto"/>
      <w:outlineLvl w:val="3"/>
    </w:pPr>
  </w:style>
  <w:style w:type="paragraph" w:styleId="1219" w:customStyle="1">
    <w:name w:val="Char Char Char Char Char Char Char Char"/>
    <w:next w:val="1220"/>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20" w:customStyle="1">
    <w:name w:val="Char Char Char Char Char Char1 Char Char Char1 Char Char Char Char Char Char Char Char Char Char Char Char Char Char Char"/>
    <w:basedOn w:val="999"/>
    <w:next w:val="1221"/>
    <w:uiPriority w:val="0"/>
    <w:qFormat/>
    <w:pPr>
      <w:ind w:left="0" w:firstLine="2560"/>
      <w:spacing w:before="0" w:after="0" w:line="240" w:lineRule="auto"/>
    </w:pPr>
  </w:style>
  <w:style w:type="paragraph" w:styleId="1221" w:customStyle="1">
    <w:name w:val="样式1"/>
    <w:basedOn w:val="999"/>
    <w:next w:val="1222"/>
    <w:uiPriority w:val="0"/>
    <w:qFormat/>
    <w:pPr>
      <w:ind w:left="0" w:firstLine="1536"/>
      <w:spacing w:before="120" w:after="120" w:line="300" w:lineRule="auto"/>
    </w:pPr>
  </w:style>
  <w:style w:type="paragraph" w:styleId="1222" w:customStyle="1">
    <w:name w:val="索引 41"/>
    <w:basedOn w:val="999"/>
    <w:next w:val="998"/>
    <w:uiPriority w:val="0"/>
    <w:qFormat/>
    <w:pPr>
      <w:ind w:left="600" w:firstLine="2560"/>
      <w:jc w:val="center"/>
      <w:spacing w:before="0" w:after="0" w:line="360" w:lineRule="auto"/>
    </w:pPr>
  </w:style>
  <w:style w:type="paragraph" w:styleId="1223" w:customStyle="1">
    <w:name w:val="索引 61"/>
    <w:basedOn w:val="999"/>
    <w:next w:val="998"/>
    <w:uiPriority w:val="0"/>
    <w:qFormat/>
    <w:pPr>
      <w:ind w:left="1000" w:firstLine="2560"/>
      <w:jc w:val="center"/>
      <w:spacing w:before="0" w:after="0" w:line="360" w:lineRule="auto"/>
    </w:pPr>
  </w:style>
  <w:style w:type="paragraph" w:styleId="1224" w:customStyle="1">
    <w:name w:val="图表"/>
    <w:basedOn w:val="999"/>
    <w:next w:val="1225"/>
    <w:uiPriority w:val="0"/>
    <w:qFormat/>
    <w:pPr>
      <w:ind w:left="0" w:firstLine="2048"/>
      <w:jc w:val="center"/>
      <w:spacing w:before="0" w:after="0" w:line="240" w:lineRule="auto"/>
    </w:pPr>
  </w:style>
  <w:style w:type="paragraph" w:styleId="1225" w:customStyle="1">
    <w:name w:val="reader-word-layer"/>
    <w:basedOn w:val="999"/>
    <w:next w:val="1226"/>
    <w:uiPriority w:val="0"/>
    <w:qFormat/>
    <w:pPr>
      <w:ind w:left="0" w:firstLine="1024"/>
      <w:spacing w:before="280" w:after="280" w:line="240" w:lineRule="auto"/>
    </w:pPr>
  </w:style>
  <w:style w:type="paragraph" w:styleId="1226" w:customStyle="1">
    <w:name w:val="样式 加粗 居中1"/>
    <w:next w:val="1227"/>
    <w:uiPriority w:val="0"/>
    <w:qFormat/>
    <w:pPr>
      <w:ind w:firstLine="2560"/>
      <w:jc w:val="center"/>
    </w:pPr>
    <w:rPr>
      <w:rFonts w:ascii="Calibri" w:hAnsi="Calibri" w:eastAsia="宋体" w:cs="Times New Roman"/>
      <w:lang w:val="en-US" w:eastAsia="zh-CN" w:bidi="ar-SA"/>
    </w:rPr>
  </w:style>
  <w:style w:type="paragraph" w:styleId="1227" w:customStyle="1">
    <w:name w:val="xl65"/>
    <w:basedOn w:val="999"/>
    <w:next w:val="1228"/>
    <w:uiPriority w:val="0"/>
    <w:qFormat/>
    <w:pPr>
      <w:ind w:left="0" w:firstLine="5120"/>
      <w:spacing w:before="280" w:after="280" w:line="240" w:lineRule="auto"/>
    </w:pPr>
  </w:style>
  <w:style w:type="paragraph" w:styleId="1228" w:customStyle="1">
    <w:name w:val="节标题"/>
    <w:basedOn w:val="999"/>
    <w:next w:val="1229"/>
    <w:uiPriority w:val="0"/>
    <w:qFormat/>
    <w:pPr>
      <w:ind w:left="0" w:firstLine="5120"/>
      <w:jc w:val="center"/>
      <w:spacing w:before="0" w:after="0" w:line="289" w:lineRule="atLeast"/>
    </w:pPr>
  </w:style>
  <w:style w:type="paragraph" w:styleId="1229" w:customStyle="1">
    <w:name w:val="文档标题6"/>
    <w:basedOn w:val="1005"/>
    <w:next w:val="998"/>
    <w:uiPriority w:val="0"/>
    <w:qFormat/>
    <w:pPr>
      <w:ind w:left="1134" w:firstLine="20"/>
      <w:spacing w:before="280" w:after="280" w:line="360" w:lineRule="auto"/>
      <w:outlineLvl w:val="5"/>
    </w:pPr>
  </w:style>
  <w:style w:type="paragraph" w:styleId="1230" w:customStyle="1">
    <w:name w:val="标书正文"/>
    <w:basedOn w:val="999"/>
    <w:next w:val="1231"/>
    <w:uiPriority w:val="0"/>
    <w:qFormat/>
    <w:pPr>
      <w:ind w:left="440" w:right="100" w:firstLine="2760"/>
      <w:spacing w:before="0" w:after="0" w:line="360" w:lineRule="auto"/>
    </w:pPr>
  </w:style>
  <w:style w:type="paragraph" w:styleId="1231" w:customStyle="1">
    <w:name w:val="xl67"/>
    <w:basedOn w:val="999"/>
    <w:next w:val="1223"/>
    <w:uiPriority w:val="0"/>
    <w:qFormat/>
    <w:pPr>
      <w:ind w:left="0" w:firstLine="5120"/>
      <w:spacing w:before="280" w:after="280" w:line="240" w:lineRule="auto"/>
    </w:pPr>
  </w:style>
  <w:style w:type="paragraph" w:styleId="1232" w:customStyle="1">
    <w:name w:val="表内文字"/>
    <w:basedOn w:val="999"/>
    <w:next w:val="1039"/>
    <w:uiPriority w:val="0"/>
    <w:qFormat/>
    <w:pPr>
      <w:ind w:left="0" w:firstLine="7680"/>
      <w:jc w:val="center"/>
      <w:spacing w:before="50" w:after="50" w:line="240" w:lineRule="auto"/>
    </w:pPr>
  </w:style>
  <w:style w:type="paragraph" w:styleId="1233" w:customStyle="1">
    <w:name w:val="Item Step in Table"/>
    <w:next w:val="1234"/>
    <w:uiPriority w:val="0"/>
    <w:qFormat/>
    <w:pPr>
      <w:ind w:left="397" w:firstLine="3699"/>
      <w:jc w:val="both"/>
      <w:spacing w:before="40" w:after="40"/>
    </w:pPr>
    <w:rPr>
      <w:rFonts w:ascii="Calibri" w:hAnsi="Calibri" w:eastAsia="宋体" w:cs="Times New Roman"/>
      <w:lang w:val="en-US" w:eastAsia="zh-CN" w:bidi="ar-SA"/>
    </w:rPr>
  </w:style>
  <w:style w:type="paragraph" w:styleId="1234" w:customStyle="1">
    <w:name w:val="Char Char Char Char Char Char1 Char Char Char Char Char Char"/>
    <w:basedOn w:val="999"/>
    <w:next w:val="1235"/>
    <w:uiPriority w:val="0"/>
    <w:qFormat/>
    <w:pPr>
      <w:ind w:left="0" w:firstLine="2560"/>
      <w:spacing w:before="0" w:after="0" w:line="240" w:lineRule="auto"/>
    </w:pPr>
  </w:style>
  <w:style w:type="paragraph" w:styleId="1235" w:customStyle="1">
    <w:name w:val="Char Char1"/>
    <w:basedOn w:val="999"/>
    <w:next w:val="1236"/>
    <w:uiPriority w:val="0"/>
    <w:qFormat/>
    <w:pPr>
      <w:ind w:left="0" w:firstLine="3584"/>
      <w:spacing w:before="0" w:after="160" w:line="240" w:lineRule="exact"/>
    </w:pPr>
  </w:style>
  <w:style w:type="paragraph" w:styleId="1236" w:customStyle="1">
    <w:name w:val="样式 标题 3 + 行距: 1.5 倍行距"/>
    <w:basedOn w:val="1002"/>
    <w:next w:val="1055"/>
    <w:uiPriority w:val="0"/>
    <w:qFormat/>
    <w:pPr>
      <w:ind w:left="200" w:firstLine="18"/>
      <w:spacing w:before="0" w:after="0" w:line="360" w:lineRule="auto"/>
      <w:outlineLvl w:val="2"/>
    </w:pPr>
  </w:style>
  <w:style w:type="paragraph" w:styleId="1237" w:customStyle="1">
    <w:name w:val="Char Char Char Char Char Char1"/>
    <w:basedOn w:val="999"/>
    <w:next w:val="1238"/>
    <w:uiPriority w:val="0"/>
    <w:qFormat/>
    <w:pPr>
      <w:ind w:left="0" w:firstLine="2560"/>
      <w:spacing w:before="0" w:after="0" w:line="240" w:lineRule="auto"/>
    </w:pPr>
  </w:style>
  <w:style w:type="paragraph" w:styleId="1238" w:customStyle="1">
    <w:name w:val="正文缩进2"/>
    <w:basedOn w:val="999"/>
    <w:next w:val="1211"/>
    <w:uiPriority w:val="0"/>
    <w:qFormat/>
    <w:pPr>
      <w:ind w:left="420" w:firstLine="1188"/>
      <w:spacing w:before="0" w:after="0" w:line="240" w:lineRule="auto"/>
    </w:pPr>
  </w:style>
  <w:style w:type="paragraph" w:styleId="1239" w:customStyle="1">
    <w:name w:val="索引 31"/>
    <w:basedOn w:val="999"/>
    <w:next w:val="998"/>
    <w:uiPriority w:val="0"/>
    <w:qFormat/>
    <w:pPr>
      <w:ind w:left="400" w:firstLine="2560"/>
      <w:jc w:val="center"/>
      <w:spacing w:before="0" w:after="0" w:line="360" w:lineRule="auto"/>
    </w:pPr>
  </w:style>
  <w:style w:type="paragraph" w:styleId="1240" w:customStyle="1">
    <w:name w:val="项目符0"/>
    <w:basedOn w:val="999"/>
    <w:next w:val="1241"/>
    <w:uiPriority w:val="0"/>
    <w:qFormat/>
    <w:pPr>
      <w:ind w:left="300" w:right="57" w:firstLine="2760"/>
      <w:spacing w:before="0" w:after="0" w:line="300" w:lineRule="auto"/>
    </w:pPr>
  </w:style>
  <w:style w:type="paragraph" w:styleId="1241" w:customStyle="1">
    <w:name w:val="宏文本1"/>
    <w:next w:val="1233"/>
    <w:uiPriority w:val="0"/>
    <w:qFormat/>
    <w:pPr>
      <w:ind w:firstLine="5632"/>
      <w:widowControl w:val="off"/>
    </w:pPr>
    <w:rPr>
      <w:rFonts w:ascii="Calibri" w:hAnsi="Calibri" w:eastAsia="宋体" w:cs="Times New Roman"/>
      <w:lang w:val="en-US" w:eastAsia="zh-CN" w:bidi="ar-SA"/>
    </w:rPr>
  </w:style>
  <w:style w:type="paragraph" w:styleId="1242" w:customStyle="1">
    <w:name w:val="xl81"/>
    <w:basedOn w:val="999"/>
    <w:next w:val="1243"/>
    <w:uiPriority w:val="0"/>
    <w:qFormat/>
    <w:pPr>
      <w:ind w:left="0" w:firstLine="5120"/>
      <w:spacing w:before="280" w:after="280" w:line="240" w:lineRule="auto"/>
    </w:pPr>
  </w:style>
  <w:style w:type="paragraph" w:styleId="1243" w:customStyle="1">
    <w:name w:val="xl25"/>
    <w:basedOn w:val="999"/>
    <w:next w:val="1244"/>
    <w:uiPriority w:val="0"/>
    <w:qFormat/>
    <w:pPr>
      <w:ind w:left="0" w:firstLine="14"/>
      <w:spacing w:before="280" w:after="280" w:line="240" w:lineRule="auto"/>
      <w:shd w:val="clear" w:color="000000" w:fill="ffffff"/>
    </w:pPr>
  </w:style>
  <w:style w:type="paragraph" w:styleId="1244" w:customStyle="1">
    <w:name w:val="普通(网站)1"/>
    <w:basedOn w:val="999"/>
    <w:next w:val="1245"/>
    <w:uiPriority w:val="0"/>
    <w:qFormat/>
    <w:pPr>
      <w:ind w:left="200" w:firstLine="1224"/>
      <w:spacing w:before="280" w:after="280" w:line="240" w:lineRule="auto"/>
    </w:pPr>
  </w:style>
  <w:style w:type="paragraph" w:styleId="1245" w:customStyle="1">
    <w:name w:val="xl27"/>
    <w:basedOn w:val="999"/>
    <w:next w:val="1246"/>
    <w:uiPriority w:val="0"/>
    <w:qFormat/>
    <w:pPr>
      <w:ind w:left="0" w:firstLine="20"/>
      <w:spacing w:before="280" w:after="280" w:line="240" w:lineRule="auto"/>
      <w:shd w:val="clear" w:color="000000" w:fill="ffffff"/>
    </w:pPr>
  </w:style>
  <w:style w:type="paragraph" w:styleId="1246" w:customStyle="1">
    <w:name w:val="表格文字图表文字"/>
    <w:basedOn w:val="999"/>
    <w:next w:val="1247"/>
    <w:uiPriority w:val="0"/>
    <w:qFormat/>
    <w:pPr>
      <w:ind w:left="0" w:firstLine="3584"/>
      <w:jc w:val="center"/>
      <w:spacing w:before="0" w:after="0" w:line="240" w:lineRule="auto"/>
    </w:pPr>
  </w:style>
  <w:style w:type="paragraph" w:styleId="1247" w:customStyle="1">
    <w:name w:val="样式 目录 3 + 左侧:  2 字符1"/>
    <w:next w:val="1248"/>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48" w:customStyle="1">
    <w:name w:val="文档正文"/>
    <w:basedOn w:val="999"/>
    <w:next w:val="1249"/>
    <w:uiPriority w:val="0"/>
    <w:qFormat/>
    <w:pPr>
      <w:ind w:left="567" w:firstLine="3639"/>
      <w:spacing w:before="0" w:after="0" w:line="480" w:lineRule="atLeast"/>
    </w:pPr>
  </w:style>
  <w:style w:type="paragraph" w:styleId="1249" w:customStyle="1">
    <w:name w:val="列表框2"/>
    <w:next w:val="1250"/>
    <w:uiPriority w:val="0"/>
    <w:qFormat/>
    <w:pPr>
      <w:ind w:firstLine="2048"/>
      <w:spacing w:line="460" w:lineRule="exact"/>
    </w:pPr>
    <w:rPr>
      <w:rFonts w:ascii="Calibri" w:hAnsi="Calibri" w:eastAsia="宋体" w:cs="Times New Roman"/>
      <w:lang w:val="en-US" w:eastAsia="zh-CN" w:bidi="ar-SA"/>
    </w:rPr>
  </w:style>
  <w:style w:type="paragraph" w:styleId="1250" w:customStyle="1">
    <w:name w:val="font10"/>
    <w:basedOn w:val="999"/>
    <w:next w:val="1030"/>
    <w:uiPriority w:val="0"/>
    <w:qFormat/>
    <w:pPr>
      <w:ind w:left="0" w:firstLine="3584"/>
      <w:spacing w:before="280" w:after="280" w:line="240" w:lineRule="auto"/>
    </w:pPr>
  </w:style>
  <w:style w:type="paragraph" w:styleId="1251" w:customStyle="1">
    <w:name w:val="Char1 Char Char"/>
    <w:basedOn w:val="999"/>
    <w:next w:val="1036"/>
    <w:uiPriority w:val="0"/>
    <w:qFormat/>
    <w:pPr>
      <w:ind w:left="0" w:firstLine="2560"/>
      <w:spacing w:before="0" w:after="0" w:line="240" w:lineRule="auto"/>
    </w:pPr>
  </w:style>
  <w:style w:type="paragraph" w:styleId="1252">
    <w:name w:val="Intense Quote"/>
    <w:next w:val="998"/>
    <w:uiPriority w:val="0"/>
    <w:qFormat/>
    <w:pPr>
      <w:ind w:left="3766" w:right="950"/>
      <w:jc w:val="center"/>
      <w:spacing w:before="360" w:after="360"/>
    </w:pPr>
    <w:rPr>
      <w:rFonts w:ascii="Calibri" w:hAnsi="Calibri" w:eastAsia="宋体" w:cs="Times New Roman"/>
      <w:i/>
      <w:lang w:val="en-US" w:eastAsia="zh-CN" w:bidi="ar-SA"/>
    </w:rPr>
  </w:style>
  <w:style w:type="paragraph" w:styleId="1253" w:customStyle="1">
    <w:name w:val="列表编号 21"/>
    <w:basedOn w:val="999"/>
    <w:next w:val="1254"/>
    <w:uiPriority w:val="0"/>
    <w:qFormat/>
    <w:pPr>
      <w:ind w:left="0" w:firstLine="2560"/>
      <w:spacing w:before="0" w:after="0" w:line="360" w:lineRule="auto"/>
    </w:pPr>
  </w:style>
  <w:style w:type="paragraph" w:styleId="1254" w:customStyle="1">
    <w:name w:val="正文文本 21"/>
    <w:basedOn w:val="999"/>
    <w:next w:val="1207"/>
    <w:uiPriority w:val="0"/>
    <w:qFormat/>
    <w:pPr>
      <w:ind w:left="0" w:firstLine="2560"/>
      <w:jc w:val="center"/>
      <w:spacing w:before="0" w:after="120" w:line="480" w:lineRule="auto"/>
    </w:pPr>
  </w:style>
  <w:style w:type="paragraph" w:styleId="1255" w:customStyle="1">
    <w:name w:val="font8"/>
    <w:basedOn w:val="999"/>
    <w:next w:val="1256"/>
    <w:uiPriority w:val="0"/>
    <w:qFormat/>
    <w:pPr>
      <w:ind w:left="0" w:firstLine="2048"/>
      <w:spacing w:before="280" w:after="280" w:line="240" w:lineRule="auto"/>
    </w:pPr>
  </w:style>
  <w:style w:type="paragraph" w:styleId="1256" w:customStyle="1">
    <w:name w:val="Default"/>
    <w:next w:val="1032"/>
    <w:uiPriority w:val="0"/>
    <w:qFormat/>
    <w:pPr>
      <w:ind w:firstLine="5120"/>
      <w:widowControl w:val="off"/>
    </w:pPr>
    <w:rPr>
      <w:rFonts w:ascii="Calibri" w:hAnsi="Calibri" w:eastAsia="宋体" w:cs="Times New Roman"/>
      <w:lang w:val="en-US" w:eastAsia="zh-CN" w:bidi="ar-SA"/>
    </w:rPr>
  </w:style>
  <w:style w:type="paragraph" w:styleId="1257" w:customStyle="1">
    <w:name w:val="小节标题"/>
    <w:basedOn w:val="999"/>
    <w:next w:val="998"/>
    <w:uiPriority w:val="0"/>
    <w:qFormat/>
    <w:pPr>
      <w:ind w:left="0" w:firstLine="7168"/>
      <w:spacing w:before="175" w:after="102" w:line="351" w:lineRule="atLeast"/>
    </w:pPr>
  </w:style>
  <w:style w:type="paragraph" w:styleId="1258" w:customStyle="1">
    <w:name w:val="图1"/>
    <w:basedOn w:val="999"/>
    <w:next w:val="998"/>
    <w:uiPriority w:val="0"/>
    <w:qFormat/>
    <w:pPr>
      <w:ind w:left="1105" w:firstLine="2580"/>
      <w:jc w:val="center"/>
      <w:spacing w:before="0" w:after="0" w:line="360" w:lineRule="auto"/>
    </w:pPr>
  </w:style>
  <w:style w:type="paragraph" w:styleId="1259" w:customStyle="1">
    <w:name w:val="Char Char Char Char Char Char1 Char Char Char1 Char Char Char Char Char Char Char Char Char Char Char Char Char Char Char Char"/>
    <w:basedOn w:val="999"/>
    <w:next w:val="1260"/>
    <w:uiPriority w:val="0"/>
    <w:qFormat/>
    <w:pPr>
      <w:ind w:left="0" w:firstLine="2560"/>
      <w:spacing w:before="0" w:after="0" w:line="240" w:lineRule="auto"/>
    </w:pPr>
  </w:style>
  <w:style w:type="paragraph" w:styleId="1260" w:customStyle="1">
    <w:name w:val="1正文"/>
    <w:basedOn w:val="999"/>
    <w:next w:val="1261"/>
    <w:uiPriority w:val="0"/>
    <w:qFormat/>
    <w:pPr>
      <w:ind w:left="480" w:firstLine="2784"/>
      <w:spacing w:before="0" w:after="0" w:line="300" w:lineRule="auto"/>
    </w:pPr>
  </w:style>
  <w:style w:type="paragraph" w:styleId="1261" w:customStyle="1">
    <w:name w:val="目录2"/>
    <w:basedOn w:val="999"/>
    <w:next w:val="998"/>
    <w:uiPriority w:val="0"/>
    <w:qFormat/>
    <w:pPr>
      <w:ind w:left="209" w:firstLine="5329"/>
      <w:spacing w:before="0" w:after="0" w:line="317" w:lineRule="atLeast"/>
    </w:pPr>
  </w:style>
  <w:style w:type="paragraph" w:styleId="1262" w:customStyle="1">
    <w:name w:val="批注主题1"/>
    <w:next w:val="998"/>
    <w:uiPriority w:val="0"/>
    <w:qFormat/>
    <w:pPr>
      <w:ind w:left="200" w:firstLine="4808"/>
      <w:spacing w:line="360" w:lineRule="auto"/>
    </w:pPr>
    <w:rPr>
      <w:rFonts w:ascii="Calibri" w:hAnsi="Calibri" w:eastAsia="宋体" w:cs="Times New Roman"/>
      <w:lang w:val="en-US" w:eastAsia="zh-CN" w:bidi="ar-SA"/>
    </w:rPr>
  </w:style>
  <w:style w:type="paragraph" w:styleId="1263" w:customStyle="1">
    <w:name w:val="xl66"/>
    <w:basedOn w:val="999"/>
    <w:next w:val="1264"/>
    <w:uiPriority w:val="0"/>
    <w:qFormat/>
    <w:pPr>
      <w:ind w:left="0" w:firstLine="3584"/>
      <w:spacing w:before="280" w:after="280" w:line="240" w:lineRule="auto"/>
    </w:pPr>
  </w:style>
  <w:style w:type="paragraph" w:styleId="1264" w:customStyle="1">
    <w:name w:val="表格文字（居中）"/>
    <w:basedOn w:val="999"/>
    <w:next w:val="1265"/>
    <w:uiPriority w:val="0"/>
    <w:qFormat/>
    <w:pPr>
      <w:ind w:left="0" w:firstLine="2560"/>
      <w:jc w:val="center"/>
      <w:spacing w:before="0" w:after="0" w:line="360" w:lineRule="auto"/>
    </w:pPr>
  </w:style>
  <w:style w:type="paragraph" w:styleId="1265" w:customStyle="1">
    <w:name w:val="style16"/>
    <w:basedOn w:val="999"/>
    <w:next w:val="1266"/>
    <w:uiPriority w:val="0"/>
    <w:qFormat/>
    <w:pPr>
      <w:ind w:left="0" w:firstLine="2048"/>
      <w:spacing w:before="280" w:after="280" w:line="240" w:lineRule="auto"/>
    </w:pPr>
  </w:style>
  <w:style w:type="paragraph" w:styleId="1266" w:customStyle="1">
    <w:name w:val="font6"/>
    <w:basedOn w:val="999"/>
    <w:next w:val="1267"/>
    <w:uiPriority w:val="0"/>
    <w:qFormat/>
    <w:pPr>
      <w:ind w:left="0" w:firstLine="5120"/>
      <w:spacing w:before="280" w:after="280" w:line="240" w:lineRule="auto"/>
    </w:pPr>
  </w:style>
  <w:style w:type="paragraph" w:styleId="1267" w:customStyle="1">
    <w:name w:val="正文首行缩进 21"/>
    <w:next w:val="1268"/>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68" w:customStyle="1">
    <w:name w:val="Body"/>
    <w:next w:val="1269"/>
    <w:uiPriority w:val="0"/>
    <w:qFormat/>
    <w:pPr>
      <w:ind w:left="567" w:right="2835" w:firstLine="3584"/>
      <w:spacing w:after="60"/>
    </w:pPr>
    <w:rPr>
      <w:rFonts w:ascii="Calibri" w:hAnsi="Calibri" w:eastAsia="宋体" w:cs="Times New Roman"/>
      <w:lang w:val="en-US" w:eastAsia="zh-CN" w:bidi="ar-SA"/>
    </w:rPr>
  </w:style>
  <w:style w:type="paragraph" w:styleId="1269" w:customStyle="1">
    <w:name w:val="索引 91"/>
    <w:basedOn w:val="999"/>
    <w:next w:val="998"/>
    <w:uiPriority w:val="0"/>
    <w:qFormat/>
    <w:pPr>
      <w:ind w:left="1600" w:firstLine="2560"/>
      <w:jc w:val="center"/>
      <w:spacing w:before="0" w:after="0" w:line="360" w:lineRule="auto"/>
    </w:pPr>
  </w:style>
  <w:style w:type="paragraph" w:styleId="1270" w:customStyle="1">
    <w:name w:val="图片0"/>
    <w:basedOn w:val="999"/>
    <w:next w:val="1044"/>
    <w:uiPriority w:val="0"/>
    <w:qFormat/>
    <w:pPr>
      <w:ind w:left="-161" w:firstLine="1187"/>
      <w:spacing w:before="0" w:after="0" w:line="276" w:lineRule="auto"/>
    </w:pPr>
  </w:style>
  <w:style w:type="paragraph" w:styleId="1271" w:customStyle="1">
    <w:name w:val="正文段"/>
    <w:basedOn w:val="999"/>
    <w:next w:val="1262"/>
    <w:uiPriority w:val="0"/>
    <w:qFormat/>
    <w:pPr>
      <w:ind w:left="454" w:firstLine="1222"/>
      <w:spacing w:before="0" w:after="240" w:line="240" w:lineRule="atLeast"/>
    </w:pPr>
  </w:style>
  <w:style w:type="paragraph" w:styleId="1272" w:customStyle="1">
    <w:name w:val="三号 居中"/>
    <w:basedOn w:val="999"/>
    <w:next w:val="1273"/>
    <w:uiPriority w:val="0"/>
    <w:qFormat/>
    <w:pPr>
      <w:ind w:left="0" w:firstLine="6144"/>
      <w:jc w:val="center"/>
      <w:spacing w:before="0" w:after="0" w:line="360" w:lineRule="auto"/>
    </w:pPr>
  </w:style>
  <w:style w:type="paragraph" w:styleId="1273" w:customStyle="1">
    <w:name w:val="列出段落1"/>
    <w:basedOn w:val="999"/>
    <w:next w:val="1274"/>
    <w:uiPriority w:val="0"/>
    <w:qFormat/>
    <w:pPr>
      <w:ind w:left="420" w:firstLine="3748"/>
      <w:spacing w:before="0" w:after="0" w:line="240" w:lineRule="auto"/>
    </w:pPr>
  </w:style>
  <w:style w:type="paragraph" w:styleId="1274" w:customStyle="1">
    <w:name w:val="Char Char Char Char Char Char1 Char Char Char1 Char Char Char"/>
    <w:basedOn w:val="999"/>
    <w:next w:val="1212"/>
    <w:uiPriority w:val="0"/>
    <w:qFormat/>
    <w:pPr>
      <w:ind w:left="0" w:firstLine="2560"/>
      <w:spacing w:before="0" w:after="0" w:line="240" w:lineRule="auto"/>
    </w:pPr>
  </w:style>
  <w:style w:type="paragraph" w:styleId="1275" w:customStyle="1">
    <w:name w:val="样式 标题 3 + (中文) 黑体 小四 非加粗 段前: 7.8 磅 段后: 0 磅 行距: 固定值 20 磅"/>
    <w:basedOn w:val="1002"/>
    <w:next w:val="1230"/>
    <w:uiPriority w:val="0"/>
    <w:qFormat/>
    <w:pPr>
      <w:ind w:left="0"/>
      <w:spacing w:before="0" w:after="0" w:line="400" w:lineRule="exact"/>
      <w:outlineLvl w:val="2"/>
    </w:pPr>
  </w:style>
  <w:style w:type="paragraph" w:styleId="1276" w:customStyle="1">
    <w:name w:val="a2"/>
    <w:basedOn w:val="999"/>
    <w:next w:val="1037"/>
    <w:uiPriority w:val="0"/>
    <w:qFormat/>
    <w:pPr>
      <w:ind w:left="0" w:firstLine="1024"/>
      <w:spacing w:before="280" w:after="280" w:line="240" w:lineRule="auto"/>
    </w:pPr>
  </w:style>
  <w:style w:type="paragraph" w:styleId="1277" w:customStyle="1">
    <w:name w:val="需求文档正文样式"/>
    <w:basedOn w:val="999"/>
    <w:next w:val="1278"/>
    <w:uiPriority w:val="0"/>
    <w:qFormat/>
    <w:pPr>
      <w:ind w:left="437" w:firstLine="2741"/>
      <w:spacing w:before="0" w:after="0" w:line="360" w:lineRule="auto"/>
    </w:pPr>
  </w:style>
  <w:style w:type="paragraph" w:styleId="1278" w:customStyle="1">
    <w:name w:val="xl74"/>
    <w:basedOn w:val="999"/>
    <w:next w:val="1279"/>
    <w:uiPriority w:val="0"/>
    <w:qFormat/>
    <w:pPr>
      <w:ind w:left="0" w:firstLine="16"/>
      <w:jc w:val="center"/>
      <w:spacing w:before="280" w:after="280" w:line="240" w:lineRule="auto"/>
      <w:shd w:val="clear" w:color="000000" w:fill="538dd5"/>
    </w:pPr>
  </w:style>
  <w:style w:type="paragraph" w:styleId="1279" w:customStyle="1">
    <w:name w:val="xl88"/>
    <w:basedOn w:val="999"/>
    <w:next w:val="1193"/>
    <w:uiPriority w:val="0"/>
    <w:qFormat/>
    <w:pPr>
      <w:ind w:left="0" w:firstLine="5120"/>
      <w:spacing w:before="280" w:after="280" w:line="240" w:lineRule="auto"/>
    </w:pPr>
  </w:style>
  <w:style w:type="paragraph" w:styleId="1280" w:customStyle="1">
    <w:name w:val="afont"/>
    <w:basedOn w:val="999"/>
    <w:next w:val="1022"/>
    <w:uiPriority w:val="0"/>
    <w:qFormat/>
    <w:pPr>
      <w:ind w:left="0" w:firstLine="2048"/>
      <w:spacing w:before="100" w:after="100" w:line="285" w:lineRule="atLeast"/>
    </w:pPr>
  </w:style>
  <w:style w:type="paragraph" w:styleId="1281" w:customStyle="1">
    <w:name w:val="日期1"/>
    <w:basedOn w:val="999"/>
    <w:next w:val="998"/>
    <w:uiPriority w:val="0"/>
    <w:qFormat/>
    <w:pPr>
      <w:ind w:left="100" w:firstLine="6144"/>
      <w:spacing w:before="0" w:after="0" w:line="240" w:lineRule="auto"/>
    </w:pPr>
  </w:style>
  <w:style w:type="paragraph" w:styleId="1282" w:customStyle="1">
    <w:name w:val="Char Char Char Char Char Char Char Char Char Char Char Char Char Char Char Char"/>
    <w:basedOn w:val="999"/>
    <w:next w:val="1283"/>
    <w:uiPriority w:val="0"/>
    <w:qFormat/>
    <w:pPr>
      <w:ind w:left="682" w:firstLine="1224"/>
      <w:spacing w:before="0" w:after="0" w:line="360" w:lineRule="auto"/>
    </w:pPr>
  </w:style>
  <w:style w:type="paragraph" w:styleId="1283" w:customStyle="1">
    <w:name w:val="列表编号 51"/>
    <w:basedOn w:val="999"/>
    <w:next w:val="1284"/>
    <w:uiPriority w:val="0"/>
    <w:qFormat/>
    <w:pPr>
      <w:ind w:left="900" w:firstLine="2652"/>
      <w:spacing w:before="0" w:after="0" w:line="360" w:lineRule="auto"/>
    </w:pPr>
  </w:style>
  <w:style w:type="paragraph" w:styleId="1284" w:customStyle="1">
    <w:name w:val="样式 标题 1 + 黑体 (符号) 宋体 三号 段前: 7.8 磅 段后: 7.8 磅 行距: 1.5 倍行距"/>
    <w:basedOn w:val="1000"/>
    <w:next w:val="1285"/>
    <w:uiPriority w:val="0"/>
    <w:qFormat/>
    <w:pPr>
      <w:ind w:left="432" w:firstLine="18"/>
      <w:spacing w:before="40" w:after="40" w:line="360" w:lineRule="auto"/>
      <w:outlineLvl w:val="0"/>
    </w:pPr>
  </w:style>
  <w:style w:type="paragraph" w:styleId="1285" w:customStyle="1">
    <w:name w:val="表格用"/>
    <w:basedOn w:val="999"/>
    <w:next w:val="1202"/>
    <w:uiPriority w:val="0"/>
    <w:qFormat/>
    <w:pPr>
      <w:ind w:left="0" w:firstLine="1024"/>
      <w:spacing w:before="0" w:after="0" w:line="360" w:lineRule="auto"/>
    </w:pPr>
  </w:style>
  <w:style w:type="paragraph" w:styleId="1286" w:customStyle="1">
    <w:name w:val="正文（首行缩进 2 字符）"/>
    <w:next w:val="1199"/>
    <w:uiPriority w:val="0"/>
    <w:qFormat/>
    <w:pPr>
      <w:ind w:left="480" w:firstLine="2784"/>
      <w:jc w:val="center"/>
      <w:spacing w:line="300" w:lineRule="auto"/>
    </w:pPr>
    <w:rPr>
      <w:rFonts w:ascii="Calibri" w:hAnsi="Calibri" w:eastAsia="宋体" w:cs="Times New Roman"/>
      <w:lang w:val="en-US" w:eastAsia="zh-CN" w:bidi="ar-SA"/>
    </w:rPr>
  </w:style>
  <w:style w:type="paragraph" w:styleId="1287" w:customStyle="1">
    <w:name w:val="Char"/>
    <w:basedOn w:val="999"/>
    <w:next w:val="1288"/>
    <w:uiPriority w:val="0"/>
    <w:qFormat/>
    <w:pPr>
      <w:ind w:left="900" w:firstLine="2608"/>
      <w:spacing w:before="0" w:after="0" w:line="240" w:lineRule="auto"/>
    </w:pPr>
  </w:style>
  <w:style w:type="paragraph" w:styleId="1288" w:customStyle="1">
    <w:name w:val="Char Char Char2 Char Char Char2 Char"/>
    <w:basedOn w:val="999"/>
    <w:next w:val="1289"/>
    <w:uiPriority w:val="0"/>
    <w:qFormat/>
    <w:pPr>
      <w:ind w:left="560" w:firstLine="3632"/>
      <w:spacing w:before="0" w:after="160" w:line="240" w:lineRule="exact"/>
    </w:pPr>
  </w:style>
  <w:style w:type="paragraph" w:styleId="1289" w:customStyle="1">
    <w:name w:val="目录3"/>
    <w:basedOn w:val="999"/>
    <w:next w:val="998"/>
    <w:uiPriority w:val="0"/>
    <w:qFormat/>
    <w:pPr>
      <w:ind w:left="419" w:firstLine="5283"/>
      <w:spacing w:before="0" w:after="0" w:line="317" w:lineRule="atLeast"/>
    </w:pPr>
  </w:style>
  <w:style w:type="paragraph" w:styleId="1290" w:customStyle="1">
    <w:name w:val="表格"/>
    <w:basedOn w:val="999"/>
    <w:next w:val="1291"/>
    <w:uiPriority w:val="0"/>
    <w:qFormat/>
    <w:pPr>
      <w:ind w:left="0" w:firstLine="2560"/>
      <w:spacing w:before="0" w:after="0" w:line="360" w:lineRule="auto"/>
    </w:pPr>
  </w:style>
  <w:style w:type="paragraph" w:styleId="1291" w:customStyle="1">
    <w:name w:val="xl26"/>
    <w:basedOn w:val="999"/>
    <w:next w:val="1251"/>
    <w:uiPriority w:val="0"/>
    <w:qFormat/>
    <w:pPr>
      <w:ind w:left="0" w:firstLine="20"/>
      <w:jc w:val="center"/>
      <w:spacing w:before="280" w:after="280" w:line="240" w:lineRule="auto"/>
      <w:shd w:val="clear" w:color="000000" w:fill="ffffff"/>
    </w:pPr>
  </w:style>
  <w:style w:type="paragraph" w:styleId="1292" w:customStyle="1">
    <w:name w:val="xl71"/>
    <w:basedOn w:val="999"/>
    <w:next w:val="1293"/>
    <w:uiPriority w:val="0"/>
    <w:qFormat/>
    <w:pPr>
      <w:ind w:left="0" w:firstLine="1536"/>
      <w:spacing w:before="280" w:after="280" w:line="240" w:lineRule="auto"/>
    </w:pPr>
  </w:style>
  <w:style w:type="paragraph" w:styleId="1293" w:customStyle="1">
    <w:name w:val="正文文本 31"/>
    <w:basedOn w:val="999"/>
    <w:next w:val="1294"/>
    <w:uiPriority w:val="0"/>
    <w:qFormat/>
    <w:pPr>
      <w:ind w:left="0" w:firstLine="3584"/>
      <w:jc w:val="center"/>
      <w:spacing w:before="0" w:after="120" w:line="360" w:lineRule="auto"/>
    </w:pPr>
  </w:style>
  <w:style w:type="paragraph" w:styleId="1294" w:customStyle="1">
    <w:name w:val="列出段落111"/>
    <w:basedOn w:val="999"/>
    <w:next w:val="1295"/>
    <w:uiPriority w:val="0"/>
    <w:qFormat/>
    <w:pPr>
      <w:ind w:left="420" w:firstLine="3748"/>
      <w:spacing w:before="0" w:after="0" w:line="240" w:lineRule="auto"/>
    </w:pPr>
  </w:style>
  <w:style w:type="paragraph" w:styleId="1295" w:customStyle="1">
    <w:name w:val="xl78"/>
    <w:basedOn w:val="999"/>
    <w:next w:val="1296"/>
    <w:uiPriority w:val="0"/>
    <w:qFormat/>
    <w:pPr>
      <w:ind w:left="0" w:firstLine="3584"/>
      <w:jc w:val="center"/>
      <w:spacing w:before="280" w:after="280" w:line="240" w:lineRule="auto"/>
    </w:pPr>
  </w:style>
  <w:style w:type="paragraph" w:styleId="1296" w:customStyle="1">
    <w:name w:val="段落正文"/>
    <w:next w:val="1286"/>
    <w:uiPriority w:val="0"/>
    <w:qFormat/>
    <w:pPr>
      <w:ind w:firstLine="4608"/>
      <w:jc w:val="center"/>
      <w:spacing w:line="360" w:lineRule="auto"/>
    </w:pPr>
    <w:rPr>
      <w:rFonts w:ascii="Calibri" w:hAnsi="Calibri" w:eastAsia="宋体" w:cs="Times New Roman"/>
      <w:lang w:val="en-US" w:eastAsia="zh-CN" w:bidi="ar-SA"/>
    </w:rPr>
  </w:style>
  <w:style w:type="paragraph" w:styleId="1297" w:customStyle="1">
    <w:name w:val="修订1"/>
    <w:uiPriority w:val="99"/>
    <w:qFormat/>
    <w:rPr>
      <w:rFonts w:ascii="Calibri" w:hAnsi="Calibri" w:eastAsia="宋体" w:cs="Times New Roman"/>
      <w:lang w:val="en-US" w:eastAsia="zh-CN" w:bidi="ar-SA"/>
    </w:rPr>
  </w:style>
  <w:style w:type="paragraph" w:styleId="1298" w:customStyle="1">
    <w:name w:val="2-2ji"/>
    <w:basedOn w:val="1001"/>
    <w:next w:val="1194"/>
    <w:uiPriority w:val="0"/>
    <w:qFormat/>
    <w:pPr>
      <w:ind w:left="0" w:firstLine="24"/>
      <w:jc w:val="center"/>
      <w:spacing w:before="0" w:after="0" w:line="360" w:lineRule="auto"/>
      <w:outlineLvl w:val="1"/>
    </w:pPr>
  </w:style>
  <w:style w:type="paragraph" w:styleId="1299" w:customStyle="1">
    <w:name w:val="TOC 标题1"/>
    <w:basedOn w:val="1000"/>
    <w:next w:val="998"/>
    <w:uiPriority w:val="0"/>
    <w:qFormat/>
    <w:pPr>
      <w:ind w:left="0" w:firstLine="6144"/>
      <w:spacing w:before="480" w:after="0" w:line="276" w:lineRule="auto"/>
    </w:pPr>
    <w:rPr>
      <w:b/>
      <w:sz w:val="30"/>
    </w:rPr>
  </w:style>
  <w:style w:type="paragraph" w:styleId="1300" w:customStyle="1">
    <w:name w:val="样式 小四 行距: 1.5 倍行距 首行缩进:  2 字符"/>
    <w:basedOn w:val="999"/>
    <w:next w:val="1301"/>
    <w:uiPriority w:val="0"/>
    <w:qFormat/>
    <w:pPr>
      <w:ind w:left="480" w:firstLine="2784"/>
      <w:spacing w:before="0" w:after="0" w:line="360" w:lineRule="auto"/>
    </w:pPr>
  </w:style>
  <w:style w:type="paragraph" w:styleId="1301" w:customStyle="1">
    <w:name w:val="xl84"/>
    <w:basedOn w:val="999"/>
    <w:next w:val="1298"/>
    <w:uiPriority w:val="0"/>
    <w:qFormat/>
    <w:pPr>
      <w:ind w:left="0" w:firstLine="2048"/>
      <w:jc w:val="center"/>
      <w:spacing w:before="280" w:after="280" w:line="240" w:lineRule="auto"/>
    </w:pPr>
  </w:style>
  <w:style w:type="paragraph" w:styleId="1302" w:customStyle="1">
    <w:name w:val="纯文本2"/>
    <w:basedOn w:val="999"/>
    <w:next w:val="1303"/>
    <w:uiPriority w:val="0"/>
    <w:qFormat/>
    <w:pPr>
      <w:ind w:left="0" w:firstLine="3584"/>
      <w:spacing w:before="0" w:after="0" w:line="240" w:lineRule="auto"/>
    </w:pPr>
  </w:style>
  <w:style w:type="paragraph" w:styleId="1303" w:customStyle="1">
    <w:name w:val="xl69"/>
    <w:basedOn w:val="999"/>
    <w:next w:val="1304"/>
    <w:uiPriority w:val="0"/>
    <w:qFormat/>
    <w:pPr>
      <w:ind w:left="0" w:firstLine="3584"/>
      <w:spacing w:before="280" w:after="280" w:line="240" w:lineRule="auto"/>
    </w:pPr>
  </w:style>
  <w:style w:type="paragraph" w:styleId="1304" w:customStyle="1">
    <w:name w:val="Char Char Char"/>
    <w:basedOn w:val="999"/>
    <w:next w:val="1290"/>
    <w:uiPriority w:val="0"/>
    <w:qFormat/>
    <w:pPr>
      <w:ind w:left="0" w:firstLine="2560"/>
      <w:spacing w:before="0" w:after="0" w:line="240" w:lineRule="auto"/>
    </w:pPr>
  </w:style>
  <w:style w:type="paragraph" w:styleId="1305" w:customStyle="1">
    <w:name w:val="Char Char Char Char Char Char Char Char Char Char Char Char Char Char Char"/>
    <w:basedOn w:val="999"/>
    <w:next w:val="1299"/>
    <w:uiPriority w:val="0"/>
    <w:qFormat/>
    <w:pPr>
      <w:ind w:left="0" w:firstLine="3584"/>
      <w:jc w:val="center"/>
      <w:spacing w:before="0" w:after="0" w:line="400" w:lineRule="exact"/>
    </w:pPr>
  </w:style>
  <w:style w:type="paragraph" w:styleId="1306" w:customStyle="1">
    <w:name w:val="!方块加粗"/>
    <w:basedOn w:val="999"/>
    <w:next w:val="1300"/>
    <w:uiPriority w:val="0"/>
    <w:qFormat/>
    <w:pPr>
      <w:ind w:left="600" w:firstLine="5212"/>
      <w:spacing w:before="0" w:after="0" w:line="360" w:lineRule="auto"/>
    </w:pPr>
  </w:style>
  <w:style w:type="paragraph" w:styleId="1307" w:customStyle="1">
    <w:name w:val="首行缩进"/>
    <w:basedOn w:val="998"/>
    <w:uiPriority w:val="0"/>
    <w:qFormat/>
    <w:pPr>
      <w:ind w:firstLine="480"/>
    </w:pPr>
    <w:rPr>
      <w:lang w:val="zh-CN"/>
    </w:rPr>
  </w:style>
  <w:style w:type="paragraph" w:styleId="1308" w:customStyle="1">
    <w:name w:val="xl63"/>
    <w:basedOn w:val="999"/>
    <w:next w:val="1309"/>
    <w:uiPriority w:val="0"/>
    <w:qFormat/>
    <w:pPr>
      <w:ind w:left="0" w:firstLine="5120"/>
      <w:spacing w:before="280" w:after="280" w:line="240" w:lineRule="auto"/>
    </w:pPr>
  </w:style>
  <w:style w:type="paragraph" w:styleId="1309" w:customStyle="1">
    <w:name w:val="表格文字（4号居中）"/>
    <w:next w:val="1306"/>
    <w:uiPriority w:val="0"/>
    <w:qFormat/>
    <w:pPr>
      <w:ind w:firstLine="2560"/>
      <w:jc w:val="center"/>
    </w:pPr>
    <w:rPr>
      <w:rFonts w:ascii="Calibri" w:hAnsi="Calibri" w:eastAsia="宋体" w:cs="Times New Roman"/>
      <w:lang w:val="en-US" w:eastAsia="zh-CN" w:bidi="ar-SA"/>
    </w:rPr>
  </w:style>
  <w:style w:type="paragraph" w:styleId="1310" w:customStyle="1">
    <w:name w:val="4"/>
    <w:basedOn w:val="999"/>
    <w:next w:val="1024"/>
    <w:uiPriority w:val="0"/>
    <w:qFormat/>
    <w:pPr>
      <w:ind w:left="409" w:firstLine="3737"/>
      <w:spacing w:before="0" w:after="0" w:line="420" w:lineRule="exact"/>
    </w:pPr>
  </w:style>
  <w:style w:type="paragraph" w:styleId="1311" w:customStyle="1">
    <w:name w:val="Char Char"/>
    <w:next w:val="1224"/>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12" w:customStyle="1">
    <w:name w:val="111"/>
    <w:next w:val="1310"/>
    <w:uiPriority w:val="0"/>
    <w:qFormat/>
    <w:pPr>
      <w:ind w:left="480" w:firstLine="4320"/>
      <w:spacing w:line="440" w:lineRule="exact"/>
    </w:pPr>
    <w:rPr>
      <w:rFonts w:ascii="Calibri" w:hAnsi="Calibri" w:eastAsia="宋体" w:cs="Times New Roman"/>
      <w:lang w:val="en-US" w:eastAsia="zh-CN" w:bidi="ar-SA"/>
    </w:rPr>
  </w:style>
  <w:style w:type="paragraph" w:styleId="1313" w:customStyle="1">
    <w:name w:val="xl24"/>
    <w:basedOn w:val="999"/>
    <w:next w:val="1314"/>
    <w:uiPriority w:val="0"/>
    <w:qFormat/>
    <w:pPr>
      <w:ind w:left="0" w:firstLine="20"/>
      <w:jc w:val="center"/>
      <w:spacing w:before="280" w:after="280" w:line="240" w:lineRule="auto"/>
      <w:shd w:val="clear" w:color="000000" w:fill="ffffff"/>
    </w:pPr>
  </w:style>
  <w:style w:type="paragraph" w:styleId="1314" w:customStyle="1">
    <w:name w:val="Char Char4 Char Char"/>
    <w:basedOn w:val="999"/>
    <w:next w:val="1315"/>
    <w:uiPriority w:val="0"/>
    <w:qFormat/>
    <w:pPr>
      <w:ind w:left="0" w:firstLine="2560"/>
      <w:spacing w:before="0" w:after="0" w:line="240" w:lineRule="auto"/>
    </w:pPr>
  </w:style>
  <w:style w:type="paragraph" w:styleId="1315" w:customStyle="1">
    <w:name w:val="目录4"/>
    <w:basedOn w:val="999"/>
    <w:next w:val="998"/>
    <w:uiPriority w:val="0"/>
    <w:qFormat/>
    <w:pPr>
      <w:ind w:left="629" w:firstLine="5237"/>
      <w:spacing w:before="0" w:after="0" w:line="317" w:lineRule="atLeast"/>
    </w:pPr>
  </w:style>
  <w:style w:type="paragraph" w:styleId="1316" w:customStyle="1">
    <w:name w:val="1"/>
    <w:basedOn w:val="999"/>
    <w:next w:val="1031"/>
    <w:uiPriority w:val="0"/>
    <w:qFormat/>
    <w:pPr>
      <w:ind w:left="0" w:firstLine="2048"/>
      <w:spacing w:before="0" w:after="0" w:line="240" w:lineRule="auto"/>
    </w:pPr>
  </w:style>
  <w:style w:type="paragraph" w:styleId="1317" w:customStyle="1">
    <w:name w:val="二级条标题"/>
    <w:basedOn w:val="999"/>
    <w:next w:val="998"/>
    <w:uiPriority w:val="0"/>
    <w:qFormat/>
    <w:pPr>
      <w:ind w:left="0" w:firstLine="8"/>
      <w:spacing w:before="0" w:after="0" w:line="240" w:lineRule="auto"/>
      <w:outlineLvl w:val="3"/>
    </w:pPr>
  </w:style>
  <w:style w:type="paragraph" w:styleId="1318" w:customStyle="1">
    <w:name w:val="Char Char Char Char Char Char1 Char Char Char1 Char Char Char Char Char Char Char Char Char Char Char Char Char Char Char Char Char Char"/>
    <w:basedOn w:val="999"/>
    <w:next w:val="1319"/>
    <w:uiPriority w:val="0"/>
    <w:qFormat/>
    <w:pPr>
      <w:ind w:left="0" w:firstLine="2560"/>
      <w:spacing w:before="0" w:after="0" w:line="240" w:lineRule="auto"/>
    </w:pPr>
  </w:style>
  <w:style w:type="paragraph" w:styleId="1319" w:customStyle="1">
    <w:name w:val="样式 加粗 居中11"/>
    <w:basedOn w:val="999"/>
    <w:next w:val="1320"/>
    <w:uiPriority w:val="0"/>
    <w:qFormat/>
    <w:pPr>
      <w:ind w:left="0" w:firstLine="2560"/>
      <w:jc w:val="center"/>
      <w:spacing w:before="0" w:after="0" w:line="360" w:lineRule="auto"/>
    </w:pPr>
  </w:style>
  <w:style w:type="paragraph" w:styleId="1320" w:customStyle="1">
    <w:name w:val="xl89"/>
    <w:basedOn w:val="999"/>
    <w:next w:val="1321"/>
    <w:uiPriority w:val="0"/>
    <w:qFormat/>
    <w:pPr>
      <w:ind w:left="0" w:firstLine="3584"/>
      <w:spacing w:before="280" w:after="280" w:line="240" w:lineRule="auto"/>
    </w:pPr>
  </w:style>
  <w:style w:type="paragraph" w:styleId="1321" w:customStyle="1">
    <w:name w:val="Char Char Char Char Char Char1 Char Char Char Char Char Char1 Char Char Char Char Char Char Char Char Char"/>
    <w:basedOn w:val="999"/>
    <w:next w:val="1322"/>
    <w:uiPriority w:val="0"/>
    <w:qFormat/>
    <w:pPr>
      <w:ind w:left="0" w:firstLine="2560"/>
      <w:spacing w:before="0" w:after="0" w:line="240" w:lineRule="auto"/>
    </w:pPr>
  </w:style>
  <w:style w:type="paragraph" w:styleId="1322" w:customStyle="1">
    <w:name w:val="文章附标题"/>
    <w:basedOn w:val="999"/>
    <w:next w:val="999"/>
    <w:uiPriority w:val="0"/>
    <w:qFormat/>
    <w:pPr>
      <w:ind w:left="0" w:firstLine="5120"/>
      <w:jc w:val="center"/>
      <w:spacing w:before="187" w:after="175" w:line="374" w:lineRule="atLeast"/>
    </w:pPr>
  </w:style>
  <w:style w:type="paragraph" w:styleId="1323" w:customStyle="1">
    <w:name w:val="图注"/>
    <w:next w:val="1324"/>
    <w:uiPriority w:val="0"/>
    <w:qFormat/>
    <w:pPr>
      <w:ind w:left="360" w:firstLine="2152"/>
      <w:jc w:val="center"/>
    </w:pPr>
    <w:rPr>
      <w:rFonts w:ascii="Calibri" w:hAnsi="Calibri" w:eastAsia="宋体" w:cs="Times New Roman"/>
      <w:lang w:val="en-US" w:eastAsia="zh-CN" w:bidi="ar-SA"/>
    </w:rPr>
  </w:style>
  <w:style w:type="paragraph" w:styleId="1324" w:customStyle="1">
    <w:name w:val="列表编号 41"/>
    <w:basedOn w:val="999"/>
    <w:next w:val="1240"/>
    <w:uiPriority w:val="0"/>
    <w:qFormat/>
    <w:pPr>
      <w:ind w:left="1620" w:firstLine="2712"/>
      <w:spacing w:before="0" w:after="0" w:line="360" w:lineRule="auto"/>
    </w:pPr>
  </w:style>
  <w:style w:type="paragraph" w:styleId="1325" w:customStyle="1">
    <w:name w:val="列出段落3"/>
    <w:basedOn w:val="999"/>
    <w:next w:val="1253"/>
    <w:uiPriority w:val="0"/>
    <w:qFormat/>
    <w:pPr>
      <w:ind w:left="420" w:firstLine="3748"/>
      <w:spacing w:before="0" w:after="0" w:line="240" w:lineRule="auto"/>
    </w:pPr>
  </w:style>
  <w:style w:type="paragraph" w:styleId="1326" w:customStyle="1">
    <w:name w:val="_Style 40"/>
    <w:basedOn w:val="998"/>
    <w:uiPriority w:val="0"/>
    <w:qFormat/>
    <w:pPr>
      <w:ind w:left="0"/>
      <w:jc w:val="left"/>
      <w:spacing w:after="160" w:line="240" w:lineRule="exact"/>
    </w:pPr>
    <w:rPr>
      <w:rFonts w:ascii="Times New Roman" w:hAnsi="Times New Roman"/>
      <w:sz w:val="24"/>
    </w:rPr>
  </w:style>
  <w:style w:type="paragraph" w:styleId="1327" w:customStyle="1">
    <w:name w:val="加粗（居中）"/>
    <w:next w:val="1227"/>
    <w:uiPriority w:val="0"/>
    <w:qFormat/>
    <w:pPr>
      <w:ind w:firstLine="2560"/>
    </w:pPr>
    <w:rPr>
      <w:rFonts w:ascii="Calibri" w:hAnsi="Calibri" w:eastAsia="宋体" w:cs="Times New Roman"/>
      <w:lang w:val="en-US" w:eastAsia="zh-CN" w:bidi="ar-SA"/>
    </w:rPr>
  </w:style>
  <w:style w:type="paragraph" w:styleId="1328" w:customStyle="1">
    <w:name w:val="项目符1"/>
    <w:basedOn w:val="999"/>
    <w:next w:val="1329"/>
    <w:uiPriority w:val="0"/>
    <w:qFormat/>
    <w:pPr>
      <w:ind w:left="1365" w:right="100" w:firstLine="2728"/>
      <w:spacing w:before="78" w:after="78" w:line="300" w:lineRule="auto"/>
    </w:pPr>
  </w:style>
  <w:style w:type="paragraph" w:styleId="1329" w:customStyle="1">
    <w:name w:val="引文目录标题1"/>
    <w:basedOn w:val="999"/>
    <w:next w:val="998"/>
    <w:uiPriority w:val="0"/>
    <w:qFormat/>
    <w:pPr>
      <w:ind w:left="0" w:firstLine="4608"/>
      <w:jc w:val="center"/>
      <w:spacing w:before="120" w:after="0" w:line="360" w:lineRule="auto"/>
    </w:pPr>
  </w:style>
  <w:style w:type="paragraph" w:styleId="1330" w:customStyle="1">
    <w:name w:val="xl77"/>
    <w:basedOn w:val="999"/>
    <w:next w:val="1331"/>
    <w:uiPriority w:val="0"/>
    <w:qFormat/>
    <w:pPr>
      <w:ind w:left="0" w:firstLine="3584"/>
      <w:spacing w:before="280" w:after="280" w:line="240" w:lineRule="auto"/>
    </w:pPr>
  </w:style>
  <w:style w:type="paragraph" w:styleId="1331" w:customStyle="1">
    <w:name w:val="Char Char Char1"/>
    <w:basedOn w:val="999"/>
    <w:next w:val="1332"/>
    <w:uiPriority w:val="0"/>
    <w:qFormat/>
    <w:pPr>
      <w:ind w:left="900" w:firstLine="2096"/>
      <w:spacing w:before="0" w:after="0" w:line="240" w:lineRule="auto"/>
    </w:pPr>
  </w:style>
  <w:style w:type="paragraph" w:styleId="1332" w:customStyle="1">
    <w:name w:val="索引 21"/>
    <w:basedOn w:val="999"/>
    <w:next w:val="998"/>
    <w:uiPriority w:val="0"/>
    <w:qFormat/>
    <w:pPr>
      <w:ind w:left="200" w:firstLine="2560"/>
      <w:jc w:val="center"/>
      <w:spacing w:before="0" w:after="0" w:line="360" w:lineRule="auto"/>
    </w:pPr>
  </w:style>
  <w:style w:type="paragraph" w:styleId="1333" w:customStyle="1">
    <w:name w:val="Char Char Char Char Char Char1 Char Char Char Char Char Char1 Char Char Char1"/>
    <w:basedOn w:val="999"/>
    <w:next w:val="1334"/>
    <w:uiPriority w:val="0"/>
    <w:qFormat/>
    <w:pPr>
      <w:ind w:left="0" w:firstLine="2560"/>
      <w:spacing w:before="0" w:after="0" w:line="240" w:lineRule="auto"/>
    </w:pPr>
  </w:style>
  <w:style w:type="paragraph" w:styleId="1334" w:customStyle="1">
    <w:name w:val="xl64"/>
    <w:basedOn w:val="999"/>
    <w:next w:val="1317"/>
    <w:uiPriority w:val="0"/>
    <w:qFormat/>
    <w:pPr>
      <w:ind w:left="0" w:firstLine="3584"/>
      <w:spacing w:before="280" w:after="280" w:line="240" w:lineRule="auto"/>
    </w:pPr>
  </w:style>
  <w:style w:type="paragraph" w:styleId="1335" w:customStyle="1">
    <w:name w:val="Char1 Char Char Char"/>
    <w:basedOn w:val="999"/>
    <w:next w:val="1313"/>
    <w:uiPriority w:val="0"/>
    <w:qFormat/>
    <w:pPr>
      <w:ind w:left="0" w:firstLine="2560"/>
      <w:spacing w:before="0" w:after="0" w:line="240" w:lineRule="auto"/>
    </w:pPr>
  </w:style>
  <w:style w:type="paragraph" w:styleId="1336" w:customStyle="1">
    <w:name w:val="font7"/>
    <w:basedOn w:val="999"/>
    <w:next w:val="1333"/>
    <w:uiPriority w:val="0"/>
    <w:qFormat/>
    <w:pPr>
      <w:ind w:left="0" w:firstLine="3584"/>
      <w:spacing w:before="280" w:after="280" w:line="240" w:lineRule="auto"/>
    </w:pPr>
  </w:style>
  <w:style w:type="paragraph" w:styleId="1337" w:customStyle="1">
    <w:name w:val="WPSOffice手动目录 3"/>
    <w:uiPriority w:val="0"/>
    <w:qFormat/>
    <w:pPr>
      <w:ind w:left="400"/>
    </w:pPr>
    <w:rPr>
      <w:rFonts w:ascii="Times New Roman" w:hAnsi="Times New Roman" w:eastAsia="宋体" w:cs="Times New Roman"/>
      <w:lang w:val="en-US" w:eastAsia="zh-CN" w:bidi="ar-SA"/>
    </w:rPr>
  </w:style>
  <w:style w:type="paragraph" w:styleId="1338" w:customStyle="1">
    <w:name w:val="标准文本"/>
    <w:basedOn w:val="999"/>
    <w:next w:val="1339"/>
    <w:uiPriority w:val="0"/>
    <w:qFormat/>
    <w:pPr>
      <w:ind w:left="480" w:firstLine="2784"/>
      <w:spacing w:before="0" w:after="0" w:line="360" w:lineRule="auto"/>
    </w:pPr>
  </w:style>
  <w:style w:type="paragraph" w:styleId="1339" w:customStyle="1">
    <w:name w:val="纯文本11"/>
    <w:basedOn w:val="999"/>
    <w:next w:val="1041"/>
    <w:uiPriority w:val="0"/>
    <w:qFormat/>
    <w:pPr>
      <w:ind w:left="0" w:firstLine="3584"/>
      <w:spacing w:before="0" w:after="0" w:line="240" w:lineRule="auto"/>
    </w:pPr>
  </w:style>
  <w:style w:type="paragraph" w:styleId="1340" w:customStyle="1">
    <w:name w:val="TOC 标题2"/>
    <w:basedOn w:val="999"/>
    <w:next w:val="99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1" w:customStyle="1">
    <w:name w:val="纯文本4"/>
    <w:basedOn w:val="998"/>
    <w:uiPriority w:val="0"/>
    <w:qFormat/>
    <w:pPr>
      <w:ind w:left="0"/>
      <w:widowControl w:val="off"/>
    </w:pPr>
    <w:rPr>
      <w:rFonts w:ascii="宋体" w:hAnsi="Courier New" w:eastAsia="楷体_GB2312"/>
      <w:sz w:val="26"/>
    </w:rPr>
  </w:style>
  <w:style w:type="paragraph" w:styleId="1342" w:customStyle="1">
    <w:name w:val="样式 加粗 居中2"/>
    <w:basedOn w:val="999"/>
    <w:next w:val="1190"/>
    <w:uiPriority w:val="0"/>
    <w:qFormat/>
    <w:pPr>
      <w:ind w:left="0" w:firstLine="2560"/>
      <w:jc w:val="center"/>
      <w:spacing w:before="0" w:after="0" w:line="360" w:lineRule="auto"/>
    </w:pPr>
  </w:style>
  <w:style w:type="paragraph" w:styleId="1343" w:customStyle="1">
    <w:name w:val="xl87"/>
    <w:basedOn w:val="999"/>
    <w:next w:val="1344"/>
    <w:uiPriority w:val="0"/>
    <w:qFormat/>
    <w:pPr>
      <w:ind w:left="0" w:firstLine="5120"/>
      <w:spacing w:before="280" w:after="280" w:line="240" w:lineRule="auto"/>
    </w:pPr>
  </w:style>
  <w:style w:type="paragraph" w:styleId="1344" w:customStyle="1">
    <w:name w:val="招标文件》"/>
    <w:basedOn w:val="999"/>
    <w:next w:val="1302"/>
    <w:uiPriority w:val="0"/>
    <w:qFormat/>
    <w:pPr>
      <w:ind w:left="420" w:firstLine="2140"/>
      <w:spacing w:before="120" w:after="120" w:line="300" w:lineRule="auto"/>
    </w:pPr>
  </w:style>
  <w:style w:type="paragraph" w:styleId="1345" w:customStyle="1">
    <w:name w:val="TOC 标题3"/>
    <w:basedOn w:val="999"/>
    <w:next w:val="99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6" w:customStyle="1">
    <w:name w:val="_Style 169"/>
    <w:next w:val="998"/>
    <w:uiPriority w:val="0"/>
    <w:qFormat/>
    <w:pPr>
      <w:ind w:left="2560"/>
    </w:pPr>
    <w:rPr>
      <w:rFonts w:ascii="Calibri" w:hAnsi="Calibri" w:eastAsia="宋体" w:cs="Times New Roman"/>
      <w:lang w:val="en-US" w:eastAsia="zh-CN" w:bidi="ar-SA"/>
    </w:rPr>
  </w:style>
  <w:style w:type="paragraph" w:styleId="1347" w:customStyle="1">
    <w:name w:val="样式"/>
    <w:next w:val="998"/>
    <w:uiPriority w:val="0"/>
    <w:qFormat/>
    <w:pPr>
      <w:ind w:firstLine="3584"/>
      <w:widowControl w:val="off"/>
    </w:pPr>
    <w:rPr>
      <w:rFonts w:ascii="Calibri" w:hAnsi="Calibri" w:eastAsia="宋体" w:cs="Times New Roman"/>
      <w:lang w:val="en-US" w:eastAsia="zh-CN" w:bidi="ar-SA"/>
    </w:rPr>
  </w:style>
  <w:style w:type="paragraph" w:styleId="1348" w:customStyle="1">
    <w:name w:val="文档标题5"/>
    <w:basedOn w:val="1004"/>
    <w:next w:val="998"/>
    <w:uiPriority w:val="0"/>
    <w:qFormat/>
    <w:pPr>
      <w:ind w:left="992" w:firstLine="18"/>
      <w:spacing w:before="280" w:after="280" w:line="360" w:lineRule="auto"/>
      <w:outlineLvl w:val="4"/>
    </w:pPr>
  </w:style>
  <w:style w:type="paragraph" w:styleId="1349" w:customStyle="1">
    <w:name w:val="Char Char Char Char Char Char Char"/>
    <w:basedOn w:val="999"/>
    <w:next w:val="1350"/>
    <w:uiPriority w:val="0"/>
    <w:qFormat/>
    <w:pPr>
      <w:ind w:left="200" w:firstLine="4808"/>
      <w:spacing w:before="0" w:after="0" w:line="360" w:lineRule="auto"/>
    </w:pPr>
  </w:style>
  <w:style w:type="paragraph" w:styleId="1350" w:customStyle="1">
    <w:name w:val="font0"/>
    <w:basedOn w:val="999"/>
    <w:next w:val="1351"/>
    <w:uiPriority w:val="0"/>
    <w:qFormat/>
    <w:pPr>
      <w:ind w:left="0" w:firstLine="1024"/>
      <w:spacing w:before="280" w:after="280" w:line="240" w:lineRule="auto"/>
    </w:pPr>
  </w:style>
  <w:style w:type="paragraph" w:styleId="1351" w:customStyle="1">
    <w:name w:val="font9"/>
    <w:basedOn w:val="999"/>
    <w:next w:val="1275"/>
    <w:uiPriority w:val="0"/>
    <w:qFormat/>
    <w:pPr>
      <w:ind w:left="0" w:firstLine="7168"/>
      <w:spacing w:before="280" w:after="280" w:line="240" w:lineRule="auto"/>
    </w:pPr>
  </w:style>
  <w:style w:type="paragraph" w:styleId="1352" w:customStyle="1">
    <w:name w:val="Char Char Char Char Char Char1 Char Char Char Char Char Char1 Char Char Char Char Char Char Char"/>
    <w:basedOn w:val="999"/>
    <w:next w:val="1343"/>
    <w:uiPriority w:val="0"/>
    <w:qFormat/>
    <w:pPr>
      <w:ind w:left="0" w:firstLine="2560"/>
      <w:spacing w:before="0" w:after="0" w:line="240" w:lineRule="auto"/>
    </w:pPr>
  </w:style>
  <w:style w:type="paragraph" w:styleId="1353" w:customStyle="1">
    <w:name w:val="xl82"/>
    <w:basedOn w:val="999"/>
    <w:next w:val="1242"/>
    <w:uiPriority w:val="0"/>
    <w:qFormat/>
    <w:pPr>
      <w:ind w:left="0" w:firstLine="5120"/>
      <w:spacing w:before="280" w:after="280" w:line="240" w:lineRule="auto"/>
    </w:pPr>
  </w:style>
  <w:style w:type="paragraph" w:styleId="1354" w:customStyle="1">
    <w:name w:val="xl80"/>
    <w:basedOn w:val="999"/>
    <w:next w:val="1355"/>
    <w:uiPriority w:val="0"/>
    <w:qFormat/>
    <w:pPr>
      <w:ind w:left="0" w:firstLine="3584"/>
      <w:jc w:val="center"/>
      <w:spacing w:before="280" w:after="280" w:line="240" w:lineRule="auto"/>
    </w:pPr>
  </w:style>
  <w:style w:type="paragraph" w:styleId="1355" w:customStyle="1">
    <w:name w:val="样式2"/>
    <w:basedOn w:val="1004"/>
    <w:next w:val="1281"/>
    <w:uiPriority w:val="0"/>
    <w:qFormat/>
    <w:pPr>
      <w:ind w:left="1134" w:firstLine="18"/>
      <w:spacing w:before="0" w:after="0" w:line="360" w:lineRule="auto"/>
      <w:outlineLvl w:val="4"/>
    </w:pPr>
  </w:style>
  <w:style w:type="paragraph" w:styleId="1356" w:customStyle="1">
    <w:name w:val="msolistparagraph"/>
    <w:basedOn w:val="999"/>
    <w:next w:val="1270"/>
    <w:uiPriority w:val="0"/>
    <w:qFormat/>
    <w:pPr>
      <w:ind w:left="420" w:firstLine="3748"/>
      <w:spacing w:before="0" w:after="0" w:line="240" w:lineRule="auto"/>
    </w:pPr>
  </w:style>
  <w:style w:type="paragraph" w:styleId="1357" w:customStyle="1">
    <w:name w:val="xl68"/>
    <w:basedOn w:val="999"/>
    <w:next w:val="1358"/>
    <w:uiPriority w:val="0"/>
    <w:qFormat/>
    <w:pPr>
      <w:ind w:left="100" w:firstLine="5220"/>
      <w:spacing w:before="280" w:after="280" w:line="240" w:lineRule="auto"/>
    </w:pPr>
  </w:style>
  <w:style w:type="paragraph" w:styleId="1358" w:customStyle="1">
    <w:name w:val="Char1"/>
    <w:basedOn w:val="999"/>
    <w:next w:val="1277"/>
    <w:uiPriority w:val="0"/>
    <w:qFormat/>
    <w:pPr>
      <w:ind w:left="0" w:firstLine="2560"/>
      <w:spacing w:before="0" w:after="0" w:line="240" w:lineRule="auto"/>
    </w:pPr>
  </w:style>
  <w:style w:type="paragraph" w:styleId="1359" w:customStyle="1">
    <w:name w:val="xl83"/>
    <w:basedOn w:val="999"/>
    <w:next w:val="1349"/>
    <w:uiPriority w:val="0"/>
    <w:qFormat/>
    <w:pPr>
      <w:ind w:left="0" w:firstLine="5120"/>
      <w:spacing w:before="280" w:after="280" w:line="240" w:lineRule="auto"/>
    </w:pPr>
  </w:style>
  <w:style w:type="paragraph" w:styleId="1360" w:customStyle="1">
    <w:name w:val="正文符号1"/>
    <w:basedOn w:val="999"/>
    <w:next w:val="1239"/>
    <w:uiPriority w:val="0"/>
    <w:qFormat/>
    <w:pPr>
      <w:ind w:left="987" w:firstLine="5724"/>
      <w:spacing w:before="0" w:after="0" w:line="240" w:lineRule="auto"/>
    </w:pPr>
  </w:style>
  <w:style w:type="paragraph" w:styleId="1361" w:customStyle="1">
    <w:name w:val="2ji"/>
    <w:basedOn w:val="1001"/>
    <w:next w:val="1040"/>
    <w:uiPriority w:val="0"/>
    <w:qFormat/>
    <w:pPr>
      <w:ind w:left="0" w:firstLine="24"/>
      <w:spacing w:before="0" w:after="0" w:line="360" w:lineRule="auto"/>
      <w:outlineLvl w:val="1"/>
    </w:pPr>
  </w:style>
  <w:style w:type="paragraph" w:styleId="1362" w:customStyle="1">
    <w:name w:val="xl79"/>
    <w:basedOn w:val="999"/>
    <w:next w:val="1312"/>
    <w:uiPriority w:val="0"/>
    <w:qFormat/>
    <w:pPr>
      <w:ind w:left="0" w:firstLine="3584"/>
      <w:jc w:val="center"/>
      <w:spacing w:before="280" w:after="280" w:line="240" w:lineRule="auto"/>
    </w:pPr>
  </w:style>
  <w:style w:type="paragraph" w:styleId="1363" w:customStyle="1">
    <w:name w:val="xl23"/>
    <w:basedOn w:val="999"/>
    <w:next w:val="1034"/>
    <w:uiPriority w:val="0"/>
    <w:qFormat/>
    <w:pPr>
      <w:ind w:left="0" w:firstLine="20"/>
      <w:spacing w:before="280" w:after="280" w:line="240" w:lineRule="auto"/>
      <w:shd w:val="clear" w:color="000000" w:fill="ffffff"/>
    </w:pPr>
  </w:style>
  <w:style w:type="paragraph" w:styleId="1364" w:customStyle="1">
    <w:name w:val="xl75"/>
    <w:basedOn w:val="999"/>
    <w:next w:val="1042"/>
    <w:uiPriority w:val="0"/>
    <w:qFormat/>
    <w:pPr>
      <w:ind w:left="0" w:firstLine="3584"/>
      <w:jc w:val="center"/>
      <w:spacing w:before="280" w:after="280" w:line="240" w:lineRule="auto"/>
    </w:pPr>
  </w:style>
  <w:style w:type="paragraph" w:styleId="1365" w:customStyle="1">
    <w:name w:val="纯文本3"/>
    <w:basedOn w:val="998"/>
    <w:uiPriority w:val="0"/>
    <w:qFormat/>
    <w:rPr>
      <w:rFonts w:ascii="宋体" w:hAnsi="Courier New"/>
    </w:rPr>
  </w:style>
  <w:style w:type="paragraph" w:styleId="1366" w:customStyle="1">
    <w:name w:val="表格文字（两侧对齐）"/>
    <w:basedOn w:val="999"/>
    <w:next w:val="1287"/>
    <w:uiPriority w:val="0"/>
    <w:qFormat/>
    <w:pPr>
      <w:ind w:left="0" w:firstLine="3584"/>
      <w:spacing w:before="0" w:after="0" w:line="240" w:lineRule="auto"/>
    </w:pPr>
  </w:style>
  <w:style w:type="paragraph" w:styleId="1367" w:customStyle="1">
    <w:name w:val="1ji"/>
    <w:basedOn w:val="1000"/>
    <w:next w:val="1330"/>
    <w:uiPriority w:val="0"/>
    <w:qFormat/>
    <w:pPr>
      <w:ind w:left="0" w:firstLine="18"/>
      <w:jc w:val="center"/>
      <w:spacing w:before="0" w:after="0" w:line="240" w:lineRule="auto"/>
      <w:outlineLvl w:val="0"/>
    </w:pPr>
  </w:style>
  <w:style w:type="paragraph" w:styleId="1368" w:customStyle="1">
    <w:name w:val="正文_0_0"/>
    <w:next w:val="1327"/>
    <w:uiPriority w:val="0"/>
    <w:qFormat/>
    <w:pPr>
      <w:ind w:firstLine="3584"/>
      <w:jc w:val="both"/>
      <w:widowControl w:val="off"/>
    </w:pPr>
    <w:rPr>
      <w:rFonts w:ascii="Calibri" w:hAnsi="Calibri" w:eastAsia="宋体" w:cs="Times New Roman"/>
      <w:lang w:val="en-US" w:eastAsia="zh-CN" w:bidi="ar-SA"/>
    </w:rPr>
  </w:style>
  <w:style w:type="paragraph" w:styleId="1369" w:customStyle="1">
    <w:name w:val="font5"/>
    <w:basedOn w:val="999"/>
    <w:next w:val="1196"/>
    <w:uiPriority w:val="0"/>
    <w:qFormat/>
    <w:pPr>
      <w:ind w:left="0" w:firstLine="5120"/>
      <w:spacing w:before="280" w:after="280" w:line="240" w:lineRule="auto"/>
    </w:pPr>
  </w:style>
  <w:style w:type="paragraph" w:styleId="1370" w:customStyle="1">
    <w:name w:val="索引 81"/>
    <w:basedOn w:val="999"/>
    <w:next w:val="998"/>
    <w:uiPriority w:val="0"/>
    <w:qFormat/>
    <w:pPr>
      <w:ind w:left="1400" w:firstLine="2560"/>
      <w:jc w:val="center"/>
      <w:spacing w:before="0" w:after="0" w:line="360" w:lineRule="auto"/>
    </w:pPr>
  </w:style>
  <w:style w:type="paragraph" w:styleId="1371" w:customStyle="1">
    <w:name w:val="标书_正文"/>
    <w:basedOn w:val="999"/>
    <w:next w:val="1372"/>
    <w:uiPriority w:val="0"/>
    <w:qFormat/>
    <w:pPr>
      <w:ind w:left="420" w:firstLine="1188"/>
      <w:spacing w:before="0" w:after="0" w:line="360" w:lineRule="auto"/>
    </w:pPr>
  </w:style>
  <w:style w:type="paragraph" w:styleId="1372" w:customStyle="1">
    <w:name w:val="样式 标题 2 + Times New Roman 四号 非加粗 段前: 5 磅 段后: 0 磅 行距: 固定值 20..."/>
    <w:basedOn w:val="1001"/>
    <w:next w:val="1272"/>
    <w:uiPriority w:val="0"/>
    <w:qFormat/>
    <w:pPr>
      <w:ind w:left="0" w:firstLine="24"/>
      <w:spacing w:before="100" w:after="0" w:line="400" w:lineRule="exact"/>
      <w:outlineLvl w:val="1"/>
    </w:pPr>
  </w:style>
  <w:style w:type="paragraph" w:styleId="1373" w:customStyle="1">
    <w:name w:val="Text Body"/>
    <w:basedOn w:val="999"/>
    <w:next w:val="1328"/>
    <w:uiPriority w:val="0"/>
    <w:qFormat/>
    <w:pPr>
      <w:ind w:left="0" w:firstLine="4096"/>
      <w:spacing w:before="0" w:after="120" w:line="240" w:lineRule="auto"/>
    </w:pPr>
  </w:style>
  <w:style w:type="paragraph" w:styleId="1374" w:customStyle="1">
    <w:name w:val="索引 71"/>
    <w:basedOn w:val="999"/>
    <w:next w:val="998"/>
    <w:uiPriority w:val="0"/>
    <w:qFormat/>
    <w:pPr>
      <w:ind w:left="1200" w:firstLine="2560"/>
      <w:jc w:val="center"/>
      <w:spacing w:before="0" w:after="0" w:line="360" w:lineRule="auto"/>
    </w:pPr>
  </w:style>
  <w:style w:type="paragraph" w:styleId="1375" w:customStyle="1">
    <w:name w:val="修订2"/>
    <w:uiPriority w:val="99"/>
    <w:qFormat/>
    <w:rPr>
      <w:rFonts w:ascii="Calibri" w:hAnsi="Calibri" w:eastAsia="宋体" w:cs="Times New Roman"/>
      <w:lang w:val="en-US" w:eastAsia="zh-CN" w:bidi="ar-SA"/>
    </w:rPr>
  </w:style>
  <w:style w:type="paragraph" w:styleId="1376" w:customStyle="1">
    <w:name w:val="WPSOffice手动目录 2"/>
    <w:uiPriority w:val="0"/>
    <w:qFormat/>
    <w:pPr>
      <w:ind w:left="200"/>
    </w:pPr>
    <w:rPr>
      <w:rFonts w:ascii="Times New Roman" w:hAnsi="Times New Roman" w:eastAsia="宋体" w:cs="Times New Roman"/>
      <w:lang w:val="en-US" w:eastAsia="zh-CN" w:bidi="ar-SA"/>
    </w:rPr>
  </w:style>
  <w:style w:type="paragraph" w:styleId="1377" w:customStyle="1">
    <w:name w:val="索引 11"/>
    <w:basedOn w:val="999"/>
    <w:next w:val="998"/>
    <w:uiPriority w:val="0"/>
    <w:qFormat/>
    <w:pPr>
      <w:ind w:left="0" w:firstLine="3584"/>
      <w:spacing w:before="0" w:after="0" w:line="240" w:lineRule="auto"/>
    </w:pPr>
  </w:style>
  <w:style w:type="paragraph" w:styleId="1378" w:customStyle="1">
    <w:name w:val="444"/>
    <w:basedOn w:val="999"/>
    <w:next w:val="1018"/>
    <w:uiPriority w:val="0"/>
    <w:qFormat/>
    <w:pPr>
      <w:ind w:left="0" w:firstLine="4608"/>
      <w:jc w:val="center"/>
      <w:spacing w:before="0" w:after="0" w:line="312" w:lineRule="atLeast"/>
    </w:pPr>
  </w:style>
  <w:style w:type="paragraph" w:styleId="1379" w:customStyle="1">
    <w:name w:val="p15"/>
    <w:basedOn w:val="998"/>
    <w:uiPriority w:val="0"/>
    <w:qFormat/>
    <w:pPr>
      <w:ind w:left="0"/>
    </w:pPr>
    <w:rPr>
      <w:rFonts w:ascii="宋体" w:hAnsi="宋体" w:cs="宋体"/>
      <w:sz w:val="28"/>
      <w:szCs w:val="28"/>
    </w:rPr>
  </w:style>
  <w:style w:type="paragraph" w:styleId="1380" w:customStyle="1">
    <w:name w:val="文档结构图1"/>
    <w:basedOn w:val="999"/>
    <w:next w:val="1361"/>
    <w:uiPriority w:val="0"/>
    <w:qFormat/>
    <w:pPr>
      <w:ind w:left="200" w:firstLine="2248"/>
      <w:spacing w:before="0" w:after="0" w:line="360" w:lineRule="auto"/>
    </w:pPr>
  </w:style>
  <w:style w:type="paragraph" w:styleId="1381" w:customStyle="1">
    <w:name w:val="样式 首行缩进:  2 字符"/>
    <w:basedOn w:val="999"/>
    <w:next w:val="1364"/>
    <w:uiPriority w:val="0"/>
    <w:qFormat/>
    <w:pPr>
      <w:ind w:left="200" w:firstLine="1224"/>
      <w:spacing w:before="0" w:after="0" w:line="400" w:lineRule="exact"/>
    </w:pPr>
  </w:style>
  <w:style w:type="paragraph" w:styleId="1382" w:customStyle="1">
    <w:name w:val="H 3"/>
    <w:basedOn w:val="1002"/>
    <w:next w:val="1359"/>
    <w:uiPriority w:val="0"/>
    <w:qFormat/>
    <w:pPr>
      <w:ind w:left="1429" w:firstLine="18"/>
      <w:spacing w:before="0" w:after="0" w:line="360" w:lineRule="auto"/>
      <w:outlineLvl w:val="2"/>
    </w:pPr>
  </w:style>
  <w:style w:type="paragraph" w:styleId="1383" w:customStyle="1">
    <w:name w:val="xl85"/>
    <w:basedOn w:val="999"/>
    <w:next w:val="1384"/>
    <w:uiPriority w:val="0"/>
    <w:qFormat/>
    <w:pPr>
      <w:ind w:left="0" w:firstLine="2048"/>
      <w:jc w:val="center"/>
      <w:spacing w:before="280" w:after="280" w:line="240" w:lineRule="auto"/>
    </w:pPr>
  </w:style>
  <w:style w:type="paragraph" w:styleId="1384" w:customStyle="1">
    <w:name w:val="文章总标题"/>
    <w:basedOn w:val="999"/>
    <w:next w:val="1381"/>
    <w:uiPriority w:val="0"/>
    <w:qFormat/>
    <w:pPr>
      <w:ind w:left="0" w:firstLine="7168"/>
      <w:jc w:val="center"/>
      <w:spacing w:before="566" w:after="544" w:line="566" w:lineRule="atLeast"/>
    </w:pPr>
  </w:style>
  <w:style w:type="paragraph" w:styleId="1385" w:customStyle="1">
    <w:name w:val="WPSOffice手动目录 1"/>
    <w:uiPriority w:val="0"/>
    <w:qFormat/>
    <w:rPr>
      <w:rFonts w:ascii="Times New Roman" w:hAnsi="Times New Roman" w:eastAsia="宋体" w:cs="Times New Roman"/>
      <w:lang w:val="en-US" w:eastAsia="zh-CN" w:bidi="ar-SA"/>
    </w:rPr>
  </w:style>
  <w:style w:type="paragraph" w:styleId="1386" w:customStyle="1">
    <w:name w:val="Pa0"/>
    <w:basedOn w:val="999"/>
    <w:next w:val="998"/>
    <w:uiPriority w:val="0"/>
    <w:qFormat/>
    <w:pPr>
      <w:ind w:left="0" w:firstLine="4608"/>
      <w:spacing w:before="0" w:after="0" w:line="241" w:lineRule="atLeast"/>
    </w:pPr>
  </w:style>
  <w:style w:type="paragraph" w:styleId="1387" w:customStyle="1">
    <w:name w:val="H 4"/>
    <w:basedOn w:val="1003"/>
    <w:next w:val="1353"/>
    <w:uiPriority w:val="0"/>
    <w:qFormat/>
    <w:pPr>
      <w:ind w:left="426" w:firstLine="24"/>
      <w:spacing w:before="0" w:after="0" w:line="360" w:lineRule="auto"/>
      <w:outlineLvl w:val="3"/>
    </w:pPr>
  </w:style>
  <w:style w:type="paragraph" w:styleId="1388" w:customStyle="1">
    <w:name w:val="Default Paragraph Font Para Char Char Char Char Char Char"/>
    <w:basedOn w:val="999"/>
    <w:next w:val="1363"/>
    <w:uiPriority w:val="0"/>
    <w:qFormat/>
    <w:pPr>
      <w:ind w:left="0" w:firstLine="3584"/>
      <w:spacing w:before="0" w:after="160" w:line="240" w:lineRule="exact"/>
    </w:pPr>
  </w:style>
  <w:style w:type="paragraph" w:styleId="1389" w:customStyle="1">
    <w:name w:val="表格文字"/>
    <w:uiPriority w:val="0"/>
    <w:qFormat/>
    <w:pPr>
      <w:ind w:firstLine="3584"/>
    </w:pPr>
    <w:rPr>
      <w:rFonts w:ascii="Calibri" w:hAnsi="Calibri" w:eastAsia="宋体" w:cs="Times New Roman"/>
      <w:lang w:val="en-US" w:eastAsia="zh-CN" w:bidi="ar-SA"/>
    </w:rPr>
  </w:style>
  <w:style w:type="paragraph" w:styleId="1390">
    <w:name w:val="Quote"/>
    <w:next w:val="998"/>
    <w:uiPriority w:val="0"/>
    <w:qFormat/>
    <w:pPr>
      <w:ind w:left="3680" w:right="864"/>
      <w:jc w:val="center"/>
      <w:spacing w:before="200" w:after="160"/>
    </w:pPr>
    <w:rPr>
      <w:rFonts w:ascii="Calibri" w:hAnsi="Calibri" w:eastAsia="宋体" w:cs="Times New Roman"/>
      <w:i/>
      <w:lang w:val="en-US" w:eastAsia="zh-CN" w:bidi="ar-SA"/>
    </w:rPr>
  </w:style>
  <w:style w:type="paragraph" w:styleId="1391" w:customStyle="1">
    <w:name w:val="索引 51"/>
    <w:basedOn w:val="999"/>
    <w:next w:val="998"/>
    <w:uiPriority w:val="0"/>
    <w:qFormat/>
    <w:pPr>
      <w:ind w:left="800" w:firstLine="2560"/>
      <w:jc w:val="center"/>
      <w:spacing w:before="0" w:after="0" w:line="360" w:lineRule="auto"/>
    </w:pPr>
  </w:style>
  <w:style w:type="paragraph" w:styleId="1392" w:customStyle="1">
    <w:name w:val="xl73"/>
    <w:basedOn w:val="999"/>
    <w:next w:val="1354"/>
    <w:uiPriority w:val="0"/>
    <w:qFormat/>
    <w:pPr>
      <w:ind w:left="0" w:firstLine="3584"/>
      <w:spacing w:before="280" w:after="280" w:line="240" w:lineRule="auto"/>
    </w:pPr>
  </w:style>
  <w:style w:type="paragraph" w:styleId="1393" w:customStyle="1">
    <w:name w:val="Char Char Char Char Char Char1 Char Char Char Char Char Char1 Char Char Char"/>
    <w:basedOn w:val="999"/>
    <w:next w:val="1360"/>
    <w:uiPriority w:val="0"/>
    <w:qFormat/>
    <w:pPr>
      <w:ind w:left="0" w:firstLine="2560"/>
      <w:spacing w:before="0" w:after="0" w:line="240" w:lineRule="auto"/>
    </w:pPr>
  </w:style>
  <w:style w:type="paragraph" w:styleId="1394" w:customStyle="1">
    <w:name w:val="Char Char Char Char Char Char1 Char Char Char1 Char Char Char Char Char Char Char Char Char Char Char Char"/>
    <w:basedOn w:val="999"/>
    <w:next w:val="1383"/>
    <w:uiPriority w:val="0"/>
    <w:qFormat/>
    <w:pPr>
      <w:ind w:left="0" w:firstLine="2560"/>
      <w:spacing w:before="0" w:after="0" w:line="240" w:lineRule="auto"/>
    </w:pPr>
  </w:style>
  <w:style w:type="paragraph" w:styleId="1395" w:customStyle="1">
    <w:name w:val="0"/>
    <w:basedOn w:val="999"/>
    <w:next w:val="1378"/>
    <w:uiPriority w:val="0"/>
    <w:qFormat/>
    <w:pPr>
      <w:ind w:left="0" w:firstLine="2815"/>
      <w:spacing w:before="0" w:after="0" w:line="360" w:lineRule="auto"/>
    </w:pPr>
  </w:style>
  <w:style w:type="paragraph" w:styleId="1396" w:customStyle="1">
    <w:name w:val="自定义二"/>
    <w:basedOn w:val="999"/>
    <w:next w:val="998"/>
    <w:uiPriority w:val="0"/>
    <w:qFormat/>
    <w:pPr>
      <w:ind w:left="0" w:firstLine="14"/>
      <w:spacing w:before="0" w:after="0" w:line="360" w:lineRule="auto"/>
      <w:outlineLvl w:val="1"/>
    </w:pPr>
  </w:style>
  <w:style w:type="paragraph" w:styleId="1397" w:customStyle="1">
    <w:name w:val="目录标题"/>
    <w:basedOn w:val="999"/>
    <w:next w:val="998"/>
    <w:uiPriority w:val="0"/>
    <w:qFormat/>
    <w:pPr>
      <w:ind w:left="419" w:firstLine="7331"/>
      <w:jc w:val="center"/>
      <w:spacing w:before="566" w:after="544" w:line="566" w:lineRule="atLeast"/>
    </w:pPr>
  </w:style>
  <w:style w:type="paragraph" w:styleId="1398" w:customStyle="1">
    <w:name w:val="xl86"/>
    <w:basedOn w:val="999"/>
    <w:next w:val="1374"/>
    <w:uiPriority w:val="0"/>
    <w:qFormat/>
    <w:pPr>
      <w:ind w:left="0" w:firstLine="5120"/>
      <w:spacing w:before="280" w:after="280" w:line="240" w:lineRule="auto"/>
    </w:pPr>
  </w:style>
  <w:style w:type="paragraph" w:styleId="1399" w:customStyle="1">
    <w:name w:val="图表目录1"/>
    <w:basedOn w:val="999"/>
    <w:next w:val="998"/>
    <w:uiPriority w:val="0"/>
    <w:qFormat/>
    <w:pPr>
      <w:ind w:left="200" w:firstLine="2616"/>
      <w:jc w:val="center"/>
      <w:spacing w:before="0" w:after="0" w:line="360" w:lineRule="auto"/>
    </w:pPr>
  </w:style>
  <w:style w:type="paragraph" w:styleId="1400" w:customStyle="1">
    <w:name w:val="正文文本缩进 21"/>
    <w:basedOn w:val="999"/>
    <w:next w:val="1366"/>
    <w:uiPriority w:val="0"/>
    <w:qFormat/>
    <w:pPr>
      <w:ind w:left="480" w:firstLine="4832"/>
      <w:spacing w:before="0" w:after="0" w:line="240" w:lineRule="auto"/>
    </w:pPr>
  </w:style>
  <w:style w:type="paragraph" w:styleId="1401" w:customStyle="1">
    <w:name w:val="xl72"/>
    <w:basedOn w:val="999"/>
    <w:next w:val="1386"/>
    <w:uiPriority w:val="0"/>
    <w:qFormat/>
    <w:pPr>
      <w:ind w:left="0" w:firstLine="3584"/>
      <w:spacing w:before="280" w:after="280" w:line="240" w:lineRule="auto"/>
    </w:pPr>
  </w:style>
  <w:style w:type="paragraph" w:styleId="1402" w:customStyle="1">
    <w:name w:val="默认段落字体 Para Char Char Char Char Char Char Char Char Char1 Char Char Char Char"/>
    <w:basedOn w:val="999"/>
    <w:next w:val="1255"/>
    <w:uiPriority w:val="0"/>
    <w:qFormat/>
    <w:pPr>
      <w:ind w:left="0" w:firstLine="2560"/>
      <w:spacing w:before="0" w:after="0" w:line="240" w:lineRule="auto"/>
    </w:pPr>
  </w:style>
  <w:style w:type="paragraph" w:styleId="1403" w:customStyle="1">
    <w:name w:val="p0"/>
    <w:next w:val="998"/>
    <w:uiPriority w:val="0"/>
    <w:qFormat/>
    <w:pPr>
      <w:ind w:firstLine="2048"/>
      <w:spacing w:line="360" w:lineRule="auto"/>
    </w:pPr>
    <w:rPr>
      <w:rFonts w:ascii="Calibri" w:hAnsi="Calibri" w:eastAsia="宋体" w:cs="Times New Roman"/>
      <w:lang w:val="en-US" w:eastAsia="zh-CN" w:bidi="ar-SA"/>
    </w:rPr>
  </w:style>
  <w:style w:type="paragraph" w:styleId="1404" w:customStyle="1">
    <w:name w:val="CM5"/>
    <w:basedOn w:val="999"/>
    <w:next w:val="998"/>
    <w:uiPriority w:val="0"/>
    <w:qFormat/>
    <w:pPr>
      <w:ind w:left="200" w:firstLine="2760"/>
      <w:spacing w:before="0" w:after="0" w:line="400" w:lineRule="atLeast"/>
    </w:pPr>
  </w:style>
  <w:style w:type="paragraph" w:styleId="1405" w:customStyle="1">
    <w:name w:val="正文首行缩进两字符"/>
    <w:basedOn w:val="999"/>
    <w:next w:val="1391"/>
    <w:uiPriority w:val="0"/>
    <w:qFormat/>
    <w:pPr>
      <w:ind w:left="200" w:firstLine="3784"/>
      <w:spacing w:before="0" w:after="0" w:line="360" w:lineRule="auto"/>
    </w:pPr>
  </w:style>
  <w:style w:type="paragraph" w:styleId="1406" w:customStyle="1">
    <w:name w:val="9-正文"/>
    <w:basedOn w:val="998"/>
    <w:uiPriority w:val="0"/>
    <w:qFormat/>
    <w:pPr>
      <w:ind w:firstLine="480"/>
      <w:spacing w:line="360" w:lineRule="auto"/>
    </w:pPr>
    <w:rPr>
      <w:sz w:val="24"/>
      <w:szCs w:val="24"/>
    </w:rPr>
  </w:style>
  <w:style w:type="paragraph" w:styleId="1407" w:customStyle="1">
    <w:name w:val="9-正文编号"/>
    <w:basedOn w:val="1406"/>
    <w:uiPriority w:val="0"/>
    <w:qFormat/>
    <w:pPr>
      <w:ind w:left="846" w:hanging="422"/>
    </w:pPr>
    <w:rPr>
      <w:rFonts w:ascii="宋体" w:hAnsi="宋体"/>
      <w:szCs w:val="21"/>
    </w:rPr>
  </w:style>
  <w:style w:type="character" w:styleId="1408" w:customStyle="1">
    <w:name w:val="列表段落 字符"/>
    <w:link w:val="1065"/>
    <w:uiPriority w:val="0"/>
    <w:qFormat/>
    <w:rPr>
      <w:rFonts w:ascii="Calibri" w:hAnsi="Calibri"/>
    </w:rPr>
  </w:style>
  <w:style w:type="paragraph" w:styleId="1409" w:customStyle="1">
    <w:name w:val="列出段落5"/>
    <w:basedOn w:val="998"/>
    <w:uiPriority w:val="99"/>
    <w:qFormat/>
    <w:pPr>
      <w:ind w:firstLine="420"/>
      <w:spacing w:line="360" w:lineRule="auto"/>
    </w:pPr>
    <w:rPr>
      <w:rFonts w:eastAsia="楷体_GB2312"/>
      <w:sz w:val="26"/>
    </w:rPr>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A477C48-526C-4E71-880C-8924654A1DA1}"/>
</file>

<file path=customXml/itemProps2.xml><?xml version="1.0" encoding="utf-8"?>
<ds:datastoreItem xmlns:ds="http://schemas.openxmlformats.org/officeDocument/2006/customXml" ds:itemID="{701685EA-A756-4357-851A-1703448D106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浦沁</cp:lastModifiedBy>
  <cp:revision>40</cp:revision>
  <dcterms:created xsi:type="dcterms:W3CDTF">2025-01-06T01:28:00Z</dcterms:created>
  <dcterms:modified xsi:type="dcterms:W3CDTF">2025-12-31T02:26:29Z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6a9720815d5140f1a9d480afa870116c_23</vt:lpwstr>
  </property>
  <property fmtid="{D5CDD505-2E9C-101B-9397-08002B2CF9AE}" pid="4" name="KSOTemplateDocerSaveRecord">
    <vt:lpwstr>eyJoZGlkIjoiYjBiMTM5ZWI1YzRmMDdmMTVmY2U3ZjIwNGViN2QxYzIiLCJ1c2VySWQiOiI2MTI4MDk1NjQifQ==</vt:lpwstr>
  </property>
</Properties>
</file>